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788" w:rsidRDefault="0081716D">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 xml:space="preserve">3GPP TSG RAN WG1 </w:t>
      </w:r>
      <w:r>
        <w:rPr>
          <w:rFonts w:ascii="Arial" w:hAnsi="Arial" w:cs="Arial" w:hint="eastAsia"/>
          <w:b/>
          <w:bCs/>
          <w:sz w:val="22"/>
          <w:szCs w:val="22"/>
          <w:lang w:val="en-US" w:eastAsia="zh-CN"/>
        </w:rPr>
        <w:t xml:space="preserve">Ad-Hoc </w:t>
      </w:r>
      <w:r>
        <w:rPr>
          <w:rFonts w:ascii="Arial" w:hAnsi="Arial" w:cs="Arial"/>
          <w:b/>
          <w:bCs/>
          <w:sz w:val="22"/>
          <w:szCs w:val="22"/>
        </w:rPr>
        <w:t xml:space="preserve">Meeting </w:t>
      </w:r>
      <w:r>
        <w:rPr>
          <w:rFonts w:ascii="Arial" w:hAnsi="Arial" w:cs="Arial" w:hint="eastAsia"/>
          <w:b/>
          <w:bCs/>
          <w:sz w:val="22"/>
          <w:szCs w:val="22"/>
          <w:lang w:val="en-US" w:eastAsia="zh-CN"/>
        </w:rPr>
        <w:t xml:space="preserve">1901                                                           </w:t>
      </w:r>
      <w:r>
        <w:rPr>
          <w:rFonts w:ascii="Arial" w:hAnsi="Arial" w:cs="Arial"/>
          <w:b/>
          <w:bCs/>
          <w:sz w:val="22"/>
          <w:szCs w:val="22"/>
        </w:rPr>
        <w:t>R1-1900773</w:t>
      </w:r>
    </w:p>
    <w:p w:rsidR="00125788" w:rsidRDefault="002D5C4F">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hAnsi="Arial" w:cs="Arial" w:hint="eastAsia"/>
          <w:b/>
          <w:bCs/>
          <w:sz w:val="22"/>
          <w:szCs w:val="22"/>
          <w:lang w:val="en-US" w:eastAsia="ja-JP"/>
        </w:rPr>
        <w:t>Taipei, 21</w:t>
      </w:r>
      <w:r w:rsidRPr="002D5C4F">
        <w:rPr>
          <w:rFonts w:ascii="Arial" w:hAnsi="Arial" w:cs="Arial" w:hint="eastAsia"/>
          <w:b/>
          <w:bCs/>
          <w:sz w:val="22"/>
          <w:szCs w:val="22"/>
          <w:vertAlign w:val="superscript"/>
          <w:lang w:val="en-US" w:eastAsia="ja-JP"/>
        </w:rPr>
        <w:t>st</w:t>
      </w:r>
      <w:r>
        <w:rPr>
          <w:rFonts w:ascii="Arial" w:hAnsi="Arial" w:cs="Arial"/>
          <w:b/>
          <w:bCs/>
          <w:sz w:val="22"/>
          <w:szCs w:val="22"/>
          <w:lang w:val="en-US" w:eastAsia="ja-JP"/>
        </w:rPr>
        <w:t xml:space="preserve">- </w:t>
      </w:r>
      <w:r w:rsidR="0081716D">
        <w:rPr>
          <w:rFonts w:ascii="Arial" w:hAnsi="Arial" w:cs="Arial" w:hint="eastAsia"/>
          <w:b/>
          <w:bCs/>
          <w:sz w:val="22"/>
          <w:szCs w:val="22"/>
          <w:lang w:val="en-US" w:eastAsia="ja-JP"/>
        </w:rPr>
        <w:t>25</w:t>
      </w:r>
      <w:r w:rsidR="0081716D" w:rsidRPr="002D5C4F">
        <w:rPr>
          <w:rFonts w:ascii="Arial" w:hAnsi="Arial" w:cs="Arial" w:hint="eastAsia"/>
          <w:b/>
          <w:bCs/>
          <w:sz w:val="22"/>
          <w:szCs w:val="22"/>
          <w:vertAlign w:val="superscript"/>
          <w:lang w:val="en-US" w:eastAsia="ja-JP"/>
        </w:rPr>
        <w:t>th</w:t>
      </w:r>
      <w:bookmarkStart w:id="0" w:name="_GoBack"/>
      <w:bookmarkEnd w:id="0"/>
      <w:r w:rsidR="0081716D">
        <w:rPr>
          <w:rFonts w:ascii="Arial" w:hAnsi="Arial" w:cs="Arial" w:hint="eastAsia"/>
          <w:b/>
          <w:bCs/>
          <w:sz w:val="22"/>
          <w:szCs w:val="22"/>
          <w:lang w:val="en-US" w:eastAsia="ja-JP"/>
        </w:rPr>
        <w:t xml:space="preserve">January, 2019 </w:t>
      </w:r>
    </w:p>
    <w:p w:rsidR="00125788" w:rsidRDefault="00125788">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125788" w:rsidRDefault="0081716D">
      <w:pPr>
        <w:pStyle w:val="Header"/>
        <w:snapToGrid w:val="0"/>
        <w:spacing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125788" w:rsidRDefault="0081716D">
      <w:pPr>
        <w:pStyle w:val="Header"/>
        <w:snapToGrid w:val="0"/>
        <w:spacing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Discussion on OTA timing alignment mechanism</w:t>
      </w:r>
    </w:p>
    <w:p w:rsidR="00125788" w:rsidRDefault="0081716D">
      <w:pPr>
        <w:pStyle w:val="Header"/>
        <w:snapToGrid w:val="0"/>
        <w:spacing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7.2.3.5</w:t>
      </w:r>
    </w:p>
    <w:p w:rsidR="00125788" w:rsidRDefault="0081716D">
      <w:pPr>
        <w:tabs>
          <w:tab w:val="center" w:pos="4536"/>
          <w:tab w:val="right" w:pos="8280"/>
          <w:tab w:val="right" w:pos="9639"/>
        </w:tabs>
        <w:snapToGrid w:val="0"/>
        <w:spacing w:after="0" w:line="240" w:lineRule="auto"/>
        <w:ind w:right="2"/>
        <w:rPr>
          <w:rFonts w:ascii="Arial" w:hAnsi="Arial" w:cs="Arial"/>
          <w:b/>
          <w:bCs/>
          <w:sz w:val="22"/>
          <w:szCs w:val="22"/>
        </w:rPr>
      </w:pPr>
      <w:r>
        <w:rPr>
          <w:rFonts w:ascii="Arial" w:hAnsi="Arial" w:cs="Arial"/>
          <w:b/>
          <w:bCs/>
          <w:sz w:val="22"/>
          <w:szCs w:val="22"/>
        </w:rPr>
        <w:t>Document for:     Discussion and Decision</w:t>
      </w:r>
    </w:p>
    <w:p w:rsidR="00125788" w:rsidRDefault="0081716D">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125788" w:rsidRDefault="0081716D">
      <w:pPr>
        <w:spacing w:line="240" w:lineRule="auto"/>
        <w:rPr>
          <w:iCs/>
          <w:color w:val="0D0D0D"/>
          <w:lang w:val="en-US" w:eastAsia="zh-CN"/>
        </w:rPr>
      </w:pPr>
      <w:r>
        <w:rPr>
          <w:iCs/>
          <w:color w:val="0D0D0D"/>
          <w:lang w:val="en-US" w:eastAsia="zh-CN"/>
        </w:rPr>
        <w:t>According to</w:t>
      </w:r>
      <w:r>
        <w:rPr>
          <w:rFonts w:hint="eastAsia"/>
          <w:iCs/>
          <w:color w:val="0D0D0D"/>
          <w:lang w:val="en-US" w:eastAsia="zh-CN"/>
        </w:rPr>
        <w:t xml:space="preserve"> IAB WI</w:t>
      </w:r>
      <w:r>
        <w:rPr>
          <w:iCs/>
          <w:color w:val="0D0D0D"/>
          <w:lang w:val="en-US" w:eastAsia="zh-CN"/>
        </w:rPr>
        <w:t>D</w:t>
      </w:r>
      <w:r>
        <w:rPr>
          <w:rFonts w:hint="eastAsia"/>
          <w:iCs/>
          <w:color w:val="0D0D0D"/>
          <w:lang w:val="en-US" w:eastAsia="zh-CN"/>
        </w:rPr>
        <w:t xml:space="preserve"> [1], </w:t>
      </w:r>
      <w:r>
        <w:rPr>
          <w:iCs/>
          <w:color w:val="0D0D0D"/>
          <w:lang w:val="en-US" w:eastAsia="zh-CN"/>
        </w:rPr>
        <w:t xml:space="preserve">RAN1 is tasked with following work: </w:t>
      </w:r>
    </w:p>
    <w:p w:rsidR="00125788" w:rsidRDefault="0081716D">
      <w:pPr>
        <w:pStyle w:val="ListParagraph"/>
        <w:numPr>
          <w:ilvl w:val="1"/>
          <w:numId w:val="7"/>
        </w:numPr>
        <w:overflowPunct/>
        <w:autoSpaceDE/>
        <w:autoSpaceDN/>
        <w:adjustRightInd/>
        <w:spacing w:line="240" w:lineRule="auto"/>
        <w:contextualSpacing w:val="0"/>
        <w:jc w:val="left"/>
        <w:textAlignment w:val="auto"/>
      </w:pPr>
      <w:r>
        <w:t>Specification of mechanism to support the “case-1” OTA timing alignment.</w:t>
      </w:r>
    </w:p>
    <w:p w:rsidR="00125788" w:rsidRDefault="0081716D">
      <w:pPr>
        <w:spacing w:line="240" w:lineRule="auto"/>
        <w:rPr>
          <w:iCs/>
          <w:color w:val="0D0D0D"/>
          <w:lang w:eastAsia="zh-CN"/>
        </w:rPr>
      </w:pPr>
      <w:r>
        <w:rPr>
          <w:iCs/>
          <w:color w:val="0D0D0D"/>
          <w:lang w:eastAsia="zh-CN"/>
        </w:rPr>
        <w:t>The IAB SI phase made following agreement relating to this task:</w:t>
      </w:r>
    </w:p>
    <w:p w:rsidR="00125788" w:rsidRDefault="0081716D">
      <w:pPr>
        <w:pStyle w:val="B10"/>
        <w:spacing w:line="240" w:lineRule="auto"/>
        <w:rPr>
          <w:lang w:val="en-US"/>
        </w:rPr>
      </w:pPr>
      <w:r>
        <w:rPr>
          <w:rFonts w:eastAsia="Malgun Gothic" w:hint="eastAsia"/>
          <w:lang w:val="en-US" w:eastAsia="ko-KR"/>
        </w:rPr>
        <w:t>-</w:t>
      </w:r>
      <w:r>
        <w:rPr>
          <w:rFonts w:eastAsia="Malgun Gothic" w:hint="eastAsia"/>
          <w:lang w:val="en-US" w:eastAsia="ko-KR"/>
        </w:rPr>
        <w:tab/>
      </w:r>
      <w:r>
        <w:rPr>
          <w:lang w:val="en-US"/>
        </w:rPr>
        <w:t>Case #1: DL transmission timing alignment across IAB-nodes and IAB-donors</w:t>
      </w:r>
      <w:r>
        <w:rPr>
          <w:rFonts w:eastAsia="Malgun Gothic" w:hint="eastAsia"/>
          <w:lang w:val="en-US" w:eastAsia="ko-KR"/>
        </w:rPr>
        <w:t>:</w:t>
      </w:r>
    </w:p>
    <w:p w:rsidR="00125788" w:rsidRDefault="0081716D">
      <w:pPr>
        <w:pStyle w:val="B2"/>
        <w:spacing w:line="240" w:lineRule="auto"/>
        <w:rPr>
          <w:lang w:val="en-US" w:eastAsia="zh-CN"/>
        </w:rPr>
      </w:pPr>
      <w:r>
        <w:rPr>
          <w:rFonts w:eastAsia="Malgun Gothic" w:hint="eastAsia"/>
          <w:lang w:eastAsia="ko-KR"/>
        </w:rPr>
        <w:t>-</w:t>
      </w:r>
      <w:r>
        <w:rPr>
          <w:rFonts w:eastAsia="Malgun Gothic" w:hint="eastAsia"/>
          <w:lang w:eastAsia="ko-KR"/>
        </w:rPr>
        <w:tab/>
      </w:r>
      <w:r>
        <w:rPr>
          <w:rFonts w:eastAsia="MS Mincho"/>
        </w:rPr>
        <w:t>If DL TX and UL RX are not well aligned at the parent node, additional information about the alignment is needed for the child node to properly set its DL TX timing for OTA based timing &amp; synchronization</w:t>
      </w:r>
      <w:r>
        <w:rPr>
          <w:rFonts w:eastAsia="Malgun Gothic" w:hint="eastAsia"/>
          <w:lang w:eastAsia="ko-KR"/>
        </w:rPr>
        <w:t>.</w:t>
      </w:r>
    </w:p>
    <w:p w:rsidR="00125788" w:rsidRDefault="0081716D">
      <w:pPr>
        <w:spacing w:line="240" w:lineRule="auto"/>
        <w:rPr>
          <w:iCs/>
          <w:color w:val="0D0D0D"/>
          <w:lang w:val="en-US" w:eastAsia="zh-CN"/>
        </w:rPr>
      </w:pPr>
      <w:r>
        <w:rPr>
          <w:iCs/>
          <w:color w:val="0D0D0D"/>
          <w:lang w:val="en-US" w:eastAsia="zh-CN"/>
        </w:rPr>
        <w:t xml:space="preserve">This paper discusses some details of the case-1 timing based on OTA measurement. </w:t>
      </w:r>
    </w:p>
    <w:p w:rsidR="00125788" w:rsidRDefault="0081716D" w:rsidP="00217707">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Mechanism to support case 1</w:t>
      </w:r>
      <w:r w:rsidR="00537FED">
        <w:rPr>
          <w:rFonts w:eastAsia="SimHei"/>
          <w:sz w:val="32"/>
          <w:szCs w:val="30"/>
          <w:lang w:val="en-US" w:eastAsia="zh-CN"/>
        </w:rPr>
        <w:t xml:space="preserve"> timing</w:t>
      </w:r>
    </w:p>
    <w:p w:rsidR="00125788" w:rsidRDefault="0081716D">
      <w:pPr>
        <w:spacing w:line="240" w:lineRule="auto"/>
        <w:rPr>
          <w:lang w:val="en-US" w:eastAsia="zh-CN"/>
        </w:rPr>
      </w:pPr>
      <w:r>
        <w:rPr>
          <w:lang w:val="en-US" w:eastAsia="zh-CN"/>
        </w:rPr>
        <w:t xml:space="preserve">The purpose of the case-1 timing is to make all IAB nodes (at least under the same IAB donor) have their DL Tx timing aligned. While the alignment can be achieved by relying on the GPS synchronization, OTA-based timing technique is agreed to be feasible as well by aligning the DL-Tx timing of an IAB node with the DL-Tx timing of its parent node, which requires the IAB node to obtain the one-way propagation delay between itself and the parent node. </w:t>
      </w:r>
    </w:p>
    <w:p w:rsidR="00125788" w:rsidRDefault="0081716D">
      <w:pPr>
        <w:spacing w:line="240" w:lineRule="auto"/>
        <w:rPr>
          <w:lang w:val="en-US" w:eastAsia="zh-CN"/>
        </w:rPr>
      </w:pPr>
      <w:r>
        <w:rPr>
          <w:lang w:val="en-US" w:eastAsia="zh-CN"/>
        </w:rPr>
        <w:t xml:space="preserve">It is easy to derive that the one-way propagation delay </w:t>
      </w:r>
      <w:r>
        <w:rPr>
          <w:rFonts w:hint="eastAsia"/>
          <w:iCs/>
          <w:color w:val="0D0D0D"/>
          <w:sz w:val="21"/>
          <w:szCs w:val="22"/>
          <w:lang w:val="en-US" w:eastAsia="zh-CN"/>
        </w:rPr>
        <w:t>equal</w:t>
      </w:r>
      <w:r>
        <w:rPr>
          <w:iCs/>
          <w:color w:val="0D0D0D"/>
          <w:sz w:val="21"/>
          <w:szCs w:val="22"/>
          <w:lang w:val="en-US" w:eastAsia="zh-CN"/>
        </w:rPr>
        <w:t>s</w:t>
      </w:r>
      <w:r>
        <w:rPr>
          <w:rFonts w:hint="eastAsia"/>
          <w:iCs/>
          <w:color w:val="0D0D0D"/>
          <w:sz w:val="21"/>
          <w:szCs w:val="22"/>
          <w:lang w:val="en-US" w:eastAsia="zh-CN"/>
        </w:rPr>
        <w:t xml:space="preserve"> to (TA+offset)/2</w:t>
      </w:r>
      <w:r>
        <w:rPr>
          <w:iCs/>
          <w:color w:val="0D0D0D"/>
          <w:sz w:val="21"/>
          <w:szCs w:val="22"/>
          <w:lang w:val="en-US" w:eastAsia="zh-CN"/>
        </w:rPr>
        <w:t>, where the TA is the timing advance interval measured locally at the IAB node from its UL-Tx instance to its DL-Rx instance, and the offset is the time interval measured locally at the parent node from parent’s DL-Tx instance to parent’s UL-Rx instance. It should be noted that, w</w:t>
      </w:r>
      <w:r w:rsidR="00850068">
        <w:rPr>
          <w:iCs/>
          <w:color w:val="0D0D0D"/>
          <w:sz w:val="21"/>
          <w:szCs w:val="22"/>
          <w:lang w:val="en-US" w:eastAsia="zh-CN"/>
        </w:rPr>
        <w:t>hen</w:t>
      </w:r>
      <w:r>
        <w:rPr>
          <w:iCs/>
          <w:color w:val="0D0D0D"/>
          <w:sz w:val="21"/>
          <w:szCs w:val="22"/>
          <w:lang w:val="en-US" w:eastAsia="zh-CN"/>
        </w:rPr>
        <w:t xml:space="preserve"> TA changes based on the TA commands sent from parent node to IAB node, the</w:t>
      </w:r>
      <w:r w:rsidR="00850068">
        <w:rPr>
          <w:iCs/>
          <w:color w:val="0D0D0D"/>
          <w:sz w:val="21"/>
          <w:szCs w:val="22"/>
          <w:lang w:val="en-US" w:eastAsia="zh-CN"/>
        </w:rPr>
        <w:t xml:space="preserve"> offset measured by the parent c</w:t>
      </w:r>
      <w:r>
        <w:rPr>
          <w:iCs/>
          <w:color w:val="0D0D0D"/>
          <w:sz w:val="21"/>
          <w:szCs w:val="22"/>
          <w:lang w:val="en-US" w:eastAsia="zh-CN"/>
        </w:rPr>
        <w:t xml:space="preserve">ould also change, i.e., the offset is the function of time-varying TA. So to be precise, the estimated one-way propagation delay may change over time, and </w:t>
      </w:r>
      <w:r w:rsidR="00217707">
        <w:rPr>
          <w:iCs/>
          <w:color w:val="0D0D0D"/>
          <w:sz w:val="21"/>
          <w:szCs w:val="22"/>
          <w:lang w:val="en-US" w:eastAsia="zh-CN"/>
        </w:rPr>
        <w:t>the real-time</w:t>
      </w:r>
      <w:r>
        <w:rPr>
          <w:iCs/>
          <w:color w:val="0D0D0D"/>
          <w:sz w:val="21"/>
          <w:szCs w:val="22"/>
          <w:lang w:val="en-US" w:eastAsia="zh-CN"/>
        </w:rPr>
        <w:t xml:space="preserve"> value at time t can be represented as </w:t>
      </w:r>
      <m:oMath>
        <m:f>
          <m:fPr>
            <m:type m:val="lin"/>
            <m:ctrlPr>
              <w:rPr>
                <w:rFonts w:ascii="Cambria Math" w:hAnsi="Cambria Math"/>
                <w:i/>
                <w:iCs/>
                <w:color w:val="0D0D0D"/>
                <w:sz w:val="21"/>
                <w:szCs w:val="22"/>
                <w:lang w:val="en-US" w:eastAsia="zh-CN"/>
              </w:rPr>
            </m:ctrlPr>
          </m:fPr>
          <m:num>
            <m:d>
              <m:dPr>
                <m:begChr m:val="["/>
                <m:endChr m:val="]"/>
                <m:ctrlPr>
                  <w:rPr>
                    <w:rFonts w:ascii="Cambria Math" w:hAnsi="Cambria Math"/>
                    <w:i/>
                    <w:iCs/>
                    <w:color w:val="0D0D0D"/>
                    <w:sz w:val="21"/>
                    <w:szCs w:val="22"/>
                    <w:lang w:val="en-US" w:eastAsia="zh-CN"/>
                  </w:rPr>
                </m:ctrlPr>
              </m:dPr>
              <m:e>
                <m:r>
                  <w:rPr>
                    <w:rFonts w:ascii="Cambria Math" w:hAnsi="Cambria Math"/>
                    <w:color w:val="0D0D0D"/>
                    <w:sz w:val="21"/>
                    <w:szCs w:val="22"/>
                    <w:lang w:val="en-US" w:eastAsia="zh-CN"/>
                  </w:rPr>
                  <m:t>TA</m:t>
                </m:r>
                <m:d>
                  <m:dPr>
                    <m:ctrlPr>
                      <w:rPr>
                        <w:rFonts w:ascii="Cambria Math" w:hAnsi="Cambria Math"/>
                        <w:i/>
                        <w:iCs/>
                        <w:color w:val="0D0D0D"/>
                        <w:sz w:val="21"/>
                        <w:szCs w:val="22"/>
                        <w:lang w:val="en-US" w:eastAsia="zh-CN"/>
                      </w:rPr>
                    </m:ctrlPr>
                  </m:dPr>
                  <m:e>
                    <m:r>
                      <w:rPr>
                        <w:rFonts w:ascii="Cambria Math" w:hAnsi="Cambria Math"/>
                        <w:color w:val="0D0D0D"/>
                        <w:sz w:val="21"/>
                        <w:szCs w:val="22"/>
                        <w:lang w:val="en-US" w:eastAsia="zh-CN"/>
                      </w:rPr>
                      <m:t>t</m:t>
                    </m:r>
                  </m:e>
                </m:d>
                <m:r>
                  <w:rPr>
                    <w:rFonts w:ascii="Cambria Math" w:hAnsi="Cambria Math"/>
                    <w:color w:val="0D0D0D"/>
                    <w:sz w:val="21"/>
                    <w:szCs w:val="22"/>
                    <w:lang w:val="en-US" w:eastAsia="zh-CN"/>
                  </w:rPr>
                  <m:t>+offset</m:t>
                </m:r>
                <m:d>
                  <m:dPr>
                    <m:ctrlPr>
                      <w:rPr>
                        <w:rFonts w:ascii="Cambria Math" w:hAnsi="Cambria Math"/>
                        <w:i/>
                        <w:iCs/>
                        <w:color w:val="0D0D0D"/>
                        <w:sz w:val="21"/>
                        <w:szCs w:val="22"/>
                        <w:lang w:val="en-US" w:eastAsia="zh-CN"/>
                      </w:rPr>
                    </m:ctrlPr>
                  </m:dPr>
                  <m:e>
                    <m:r>
                      <w:rPr>
                        <w:rFonts w:ascii="Cambria Math" w:hAnsi="Cambria Math"/>
                        <w:color w:val="0D0D0D"/>
                        <w:sz w:val="21"/>
                        <w:szCs w:val="22"/>
                        <w:lang w:val="en-US" w:eastAsia="zh-CN"/>
                      </w:rPr>
                      <m:t>TA</m:t>
                    </m:r>
                    <m:d>
                      <m:dPr>
                        <m:ctrlPr>
                          <w:rPr>
                            <w:rFonts w:ascii="Cambria Math" w:hAnsi="Cambria Math"/>
                            <w:i/>
                            <w:iCs/>
                            <w:color w:val="0D0D0D"/>
                            <w:sz w:val="21"/>
                            <w:szCs w:val="22"/>
                            <w:lang w:val="en-US" w:eastAsia="zh-CN"/>
                          </w:rPr>
                        </m:ctrlPr>
                      </m:dPr>
                      <m:e>
                        <m:r>
                          <w:rPr>
                            <w:rFonts w:ascii="Cambria Math" w:hAnsi="Cambria Math"/>
                            <w:color w:val="0D0D0D"/>
                            <w:sz w:val="21"/>
                            <w:szCs w:val="22"/>
                            <w:lang w:val="en-US" w:eastAsia="zh-CN"/>
                          </w:rPr>
                          <m:t>t</m:t>
                        </m:r>
                      </m:e>
                    </m:d>
                  </m:e>
                </m:d>
              </m:e>
            </m:d>
          </m:num>
          <m:den>
            <m:r>
              <w:rPr>
                <w:rFonts w:ascii="Cambria Math" w:hAnsi="Cambria Math"/>
                <w:color w:val="0D0D0D"/>
                <w:sz w:val="21"/>
                <w:szCs w:val="22"/>
                <w:lang w:val="en-US" w:eastAsia="zh-CN"/>
              </w:rPr>
              <m:t>2</m:t>
            </m:r>
          </m:den>
        </m:f>
      </m:oMath>
      <w:r>
        <w:rPr>
          <w:iCs/>
          <w:color w:val="0D0D0D"/>
          <w:sz w:val="21"/>
          <w:szCs w:val="22"/>
          <w:lang w:val="en-US" w:eastAsia="zh-CN"/>
        </w:rPr>
        <w:t xml:space="preserve">.   </w:t>
      </w:r>
    </w:p>
    <w:p w:rsidR="00125788" w:rsidRDefault="0081716D">
      <w:pPr>
        <w:spacing w:line="240" w:lineRule="auto"/>
        <w:rPr>
          <w:iCs/>
          <w:color w:val="0D0D0D"/>
          <w:sz w:val="21"/>
          <w:szCs w:val="22"/>
          <w:lang w:val="en-US" w:eastAsia="zh-CN"/>
        </w:rPr>
      </w:pPr>
      <w:r>
        <w:rPr>
          <w:lang w:val="en-US" w:eastAsia="zh-CN"/>
        </w:rPr>
        <w:t xml:space="preserve">It is common </w:t>
      </w:r>
      <w:r>
        <w:rPr>
          <w:iCs/>
          <w:color w:val="0D0D0D"/>
          <w:sz w:val="21"/>
          <w:szCs w:val="22"/>
          <w:lang w:val="en-US" w:eastAsia="zh-CN"/>
        </w:rPr>
        <w:t>in practice</w:t>
      </w:r>
      <w:r>
        <w:rPr>
          <w:lang w:val="en-US" w:eastAsia="zh-CN"/>
        </w:rPr>
        <w:t xml:space="preserve"> that the IAB node </w:t>
      </w:r>
      <w:r>
        <w:rPr>
          <w:iCs/>
          <w:color w:val="0D0D0D"/>
          <w:sz w:val="21"/>
          <w:szCs w:val="22"/>
          <w:lang w:val="en-US" w:eastAsia="zh-CN"/>
        </w:rPr>
        <w:t>can only obtain the discrete time value</w:t>
      </w:r>
      <w:r w:rsidR="004A65E5">
        <w:rPr>
          <w:iCs/>
          <w:color w:val="0D0D0D"/>
          <w:sz w:val="21"/>
          <w:szCs w:val="22"/>
          <w:lang w:val="en-US" w:eastAsia="zh-CN"/>
        </w:rPr>
        <w:t>s</w:t>
      </w:r>
      <w:r w:rsidR="00217707">
        <w:rPr>
          <w:iCs/>
          <w:color w:val="0D0D0D"/>
          <w:sz w:val="21"/>
          <w:szCs w:val="22"/>
          <w:lang w:val="en-US" w:eastAsia="zh-CN"/>
        </w:rPr>
        <w:t xml:space="preserve"> </w:t>
      </w:r>
      <w:r w:rsidR="004A65E5">
        <w:rPr>
          <w:iCs/>
          <w:color w:val="0D0D0D"/>
          <w:sz w:val="21"/>
          <w:szCs w:val="22"/>
          <w:lang w:val="en-US" w:eastAsia="zh-CN"/>
        </w:rPr>
        <w:t>for</w:t>
      </w:r>
      <w:r w:rsidR="00217707">
        <w:rPr>
          <w:iCs/>
          <w:color w:val="0D0D0D"/>
          <w:sz w:val="21"/>
          <w:szCs w:val="22"/>
          <w:lang w:val="en-US" w:eastAsia="zh-CN"/>
        </w:rPr>
        <w:t xml:space="preserve"> </w:t>
      </w:r>
      <m:oMath>
        <m:r>
          <w:rPr>
            <w:rFonts w:ascii="Cambria Math" w:hAnsi="Cambria Math"/>
            <w:color w:val="0D0D0D"/>
            <w:sz w:val="21"/>
            <w:szCs w:val="22"/>
            <w:lang w:val="en-US" w:eastAsia="zh-CN"/>
          </w:rPr>
          <m:t>offset</m:t>
        </m:r>
        <m:d>
          <m:dPr>
            <m:ctrlPr>
              <w:rPr>
                <w:rFonts w:ascii="Cambria Math" w:hAnsi="Cambria Math"/>
                <w:i/>
                <w:iCs/>
                <w:color w:val="0D0D0D"/>
                <w:sz w:val="21"/>
                <w:szCs w:val="22"/>
                <w:lang w:val="en-US" w:eastAsia="zh-CN"/>
              </w:rPr>
            </m:ctrlPr>
          </m:dPr>
          <m:e>
            <m:r>
              <w:rPr>
                <w:rFonts w:ascii="Cambria Math" w:hAnsi="Cambria Math"/>
                <w:color w:val="0D0D0D"/>
                <w:sz w:val="21"/>
                <w:szCs w:val="22"/>
                <w:lang w:val="en-US" w:eastAsia="zh-CN"/>
              </w:rPr>
              <m:t>TA</m:t>
            </m:r>
            <m:d>
              <m:dPr>
                <m:ctrlPr>
                  <w:rPr>
                    <w:rFonts w:ascii="Cambria Math" w:hAnsi="Cambria Math"/>
                    <w:i/>
                    <w:iCs/>
                    <w:color w:val="0D0D0D"/>
                    <w:sz w:val="21"/>
                    <w:szCs w:val="22"/>
                    <w:lang w:val="en-US" w:eastAsia="zh-CN"/>
                  </w:rPr>
                </m:ctrlPr>
              </m:dPr>
              <m:e>
                <m:r>
                  <w:rPr>
                    <w:rFonts w:ascii="Cambria Math" w:hAnsi="Cambria Math"/>
                    <w:color w:val="0D0D0D"/>
                    <w:sz w:val="21"/>
                    <w:szCs w:val="22"/>
                    <w:lang w:val="en-US" w:eastAsia="zh-CN"/>
                  </w:rPr>
                  <m:t>t</m:t>
                </m:r>
              </m:e>
            </m:d>
          </m:e>
        </m:d>
      </m:oMath>
      <w:r>
        <w:rPr>
          <w:iCs/>
          <w:color w:val="0D0D0D"/>
          <w:sz w:val="21"/>
          <w:szCs w:val="22"/>
          <w:lang w:val="en-US" w:eastAsia="zh-CN"/>
        </w:rPr>
        <w:t>, and both IAB node and its parent node are not coordinated to perform the measurement of TA and offset at the same time. Due to the TA adjustment, the TA applied to above formulation may not be the same TA that drives the measured/indicted offset. In order to avoid the error due to misaligned measurement</w:t>
      </w:r>
      <w:r w:rsidR="00217707">
        <w:rPr>
          <w:iCs/>
          <w:color w:val="0D0D0D"/>
          <w:sz w:val="21"/>
          <w:szCs w:val="22"/>
          <w:lang w:val="en-US" w:eastAsia="zh-CN"/>
        </w:rPr>
        <w:t>s</w:t>
      </w:r>
      <w:r>
        <w:rPr>
          <w:iCs/>
          <w:color w:val="0D0D0D"/>
          <w:sz w:val="21"/>
          <w:szCs w:val="22"/>
          <w:lang w:val="en-US" w:eastAsia="zh-CN"/>
        </w:rPr>
        <w:t xml:space="preserve">, for the </w:t>
      </w:r>
      <w:r>
        <w:rPr>
          <w:iCs/>
          <w:color w:val="0D0D0D"/>
          <w:sz w:val="21"/>
          <w:szCs w:val="22"/>
          <w:lang w:val="en-US" w:eastAsia="zh-CN"/>
        </w:rPr>
        <w:lastRenderedPageBreak/>
        <w:t xml:space="preserve">indicated </w:t>
      </w:r>
      <m:oMath>
        <m:r>
          <w:rPr>
            <w:rFonts w:ascii="Cambria Math" w:hAnsi="Cambria Math"/>
            <w:color w:val="0D0D0D"/>
            <w:sz w:val="21"/>
            <w:szCs w:val="22"/>
            <w:lang w:val="en-US" w:eastAsia="zh-CN"/>
          </w:rPr>
          <m:t>offset</m:t>
        </m:r>
        <m:d>
          <m:dPr>
            <m:ctrlPr>
              <w:rPr>
                <w:rFonts w:ascii="Cambria Math" w:hAnsi="Cambria Math"/>
                <w:i/>
                <w:iCs/>
                <w:color w:val="0D0D0D"/>
                <w:sz w:val="21"/>
                <w:szCs w:val="22"/>
                <w:lang w:val="en-US" w:eastAsia="zh-CN"/>
              </w:rPr>
            </m:ctrlPr>
          </m:dPr>
          <m:e>
            <m:r>
              <w:rPr>
                <w:rFonts w:ascii="Cambria Math" w:hAnsi="Cambria Math"/>
                <w:color w:val="0D0D0D"/>
                <w:sz w:val="21"/>
                <w:szCs w:val="22"/>
                <w:lang w:val="en-US" w:eastAsia="zh-CN"/>
              </w:rPr>
              <m:t>TA</m:t>
            </m:r>
            <m:d>
              <m:dPr>
                <m:ctrlPr>
                  <w:rPr>
                    <w:rFonts w:ascii="Cambria Math" w:hAnsi="Cambria Math"/>
                    <w:i/>
                    <w:iCs/>
                    <w:color w:val="0D0D0D"/>
                    <w:sz w:val="21"/>
                    <w:szCs w:val="22"/>
                    <w:lang w:val="en-US" w:eastAsia="zh-CN"/>
                  </w:rPr>
                </m:ctrlPr>
              </m:dPr>
              <m:e>
                <m:sSub>
                  <m:sSubPr>
                    <m:ctrlPr>
                      <w:rPr>
                        <w:rFonts w:ascii="Cambria Math" w:hAnsi="Cambria Math"/>
                        <w:i/>
                        <w:iCs/>
                        <w:color w:val="0D0D0D"/>
                        <w:sz w:val="21"/>
                        <w:szCs w:val="22"/>
                        <w:lang w:val="en-US" w:eastAsia="zh-CN"/>
                      </w:rPr>
                    </m:ctrlPr>
                  </m:sSubPr>
                  <m:e>
                    <m:r>
                      <w:rPr>
                        <w:rFonts w:ascii="Cambria Math" w:hAnsi="Cambria Math"/>
                        <w:color w:val="0D0D0D"/>
                        <w:sz w:val="21"/>
                        <w:szCs w:val="22"/>
                        <w:lang w:val="en-US" w:eastAsia="zh-CN"/>
                      </w:rPr>
                      <m:t>t</m:t>
                    </m:r>
                  </m:e>
                  <m:sub>
                    <m:r>
                      <w:rPr>
                        <w:rFonts w:ascii="Cambria Math" w:hAnsi="Cambria Math"/>
                        <w:color w:val="0D0D0D"/>
                        <w:sz w:val="21"/>
                        <w:szCs w:val="22"/>
                        <w:lang w:val="en-US" w:eastAsia="zh-CN"/>
                      </w:rPr>
                      <m:t>0</m:t>
                    </m:r>
                  </m:sub>
                </m:sSub>
              </m:e>
            </m:d>
          </m:e>
        </m:d>
      </m:oMath>
      <w:r>
        <w:rPr>
          <w:iCs/>
          <w:color w:val="0D0D0D"/>
          <w:sz w:val="21"/>
          <w:szCs w:val="22"/>
          <w:lang w:val="en-US" w:eastAsia="zh-CN"/>
        </w:rPr>
        <w:t xml:space="preserve"> that is measured at </w:t>
      </w:r>
      <m:oMath>
        <m:sSub>
          <m:sSubPr>
            <m:ctrlPr>
              <w:rPr>
                <w:rFonts w:ascii="Cambria Math" w:hAnsi="Cambria Math"/>
                <w:i/>
                <w:iCs/>
                <w:color w:val="0D0D0D"/>
                <w:sz w:val="21"/>
                <w:szCs w:val="22"/>
                <w:lang w:val="en-US" w:eastAsia="zh-CN"/>
              </w:rPr>
            </m:ctrlPr>
          </m:sSubPr>
          <m:e>
            <m:r>
              <w:rPr>
                <w:rFonts w:ascii="Cambria Math" w:hAnsi="Cambria Math"/>
                <w:color w:val="0D0D0D"/>
                <w:sz w:val="21"/>
                <w:szCs w:val="22"/>
                <w:lang w:val="en-US" w:eastAsia="zh-CN"/>
              </w:rPr>
              <m:t>t</m:t>
            </m:r>
          </m:e>
          <m:sub>
            <m:r>
              <w:rPr>
                <w:rFonts w:ascii="Cambria Math" w:hAnsi="Cambria Math"/>
                <w:color w:val="0D0D0D"/>
                <w:sz w:val="21"/>
                <w:szCs w:val="22"/>
                <w:lang w:val="en-US" w:eastAsia="zh-CN"/>
              </w:rPr>
              <m:t>0</m:t>
            </m:r>
          </m:sub>
        </m:sSub>
      </m:oMath>
      <w:r>
        <w:rPr>
          <w:iCs/>
          <w:color w:val="0D0D0D"/>
          <w:sz w:val="21"/>
          <w:szCs w:val="22"/>
          <w:lang w:val="en-US" w:eastAsia="zh-CN"/>
        </w:rPr>
        <w:t xml:space="preserve">, some mechanism should ensure the IAB node should apply its locally measured TA at time </w:t>
      </w:r>
      <m:oMath>
        <m:sSub>
          <m:sSubPr>
            <m:ctrlPr>
              <w:rPr>
                <w:rFonts w:ascii="Cambria Math" w:hAnsi="Cambria Math"/>
                <w:i/>
                <w:iCs/>
                <w:color w:val="0D0D0D"/>
                <w:sz w:val="21"/>
                <w:szCs w:val="22"/>
                <w:lang w:val="en-US" w:eastAsia="zh-CN"/>
              </w:rPr>
            </m:ctrlPr>
          </m:sSubPr>
          <m:e>
            <m:r>
              <w:rPr>
                <w:rFonts w:ascii="Cambria Math" w:hAnsi="Cambria Math"/>
                <w:color w:val="0D0D0D"/>
                <w:sz w:val="21"/>
                <w:szCs w:val="22"/>
                <w:lang w:val="en-US" w:eastAsia="zh-CN"/>
              </w:rPr>
              <m:t>t</m:t>
            </m:r>
          </m:e>
          <m:sub>
            <m:r>
              <w:rPr>
                <w:rFonts w:ascii="Cambria Math" w:hAnsi="Cambria Math"/>
                <w:color w:val="0D0D0D"/>
                <w:sz w:val="21"/>
                <w:szCs w:val="22"/>
                <w:lang w:val="en-US" w:eastAsia="zh-CN"/>
              </w:rPr>
              <m:t>1</m:t>
            </m:r>
          </m:sub>
        </m:sSub>
      </m:oMath>
      <w:r>
        <w:rPr>
          <w:iCs/>
          <w:color w:val="0D0D0D"/>
          <w:sz w:val="21"/>
          <w:szCs w:val="22"/>
          <w:lang w:val="en-US" w:eastAsia="zh-CN"/>
        </w:rPr>
        <w:t xml:space="preserve">, under the condition that </w:t>
      </w:r>
      <m:oMath>
        <m:r>
          <w:rPr>
            <w:rFonts w:ascii="Cambria Math" w:hAnsi="Cambria Math"/>
            <w:color w:val="0D0D0D"/>
            <w:sz w:val="21"/>
            <w:szCs w:val="22"/>
            <w:lang w:val="en-US" w:eastAsia="zh-CN"/>
          </w:rPr>
          <m:t>TA</m:t>
        </m:r>
        <m:d>
          <m:dPr>
            <m:ctrlPr>
              <w:rPr>
                <w:rFonts w:ascii="Cambria Math" w:hAnsi="Cambria Math"/>
                <w:i/>
                <w:iCs/>
                <w:color w:val="0D0D0D"/>
                <w:sz w:val="21"/>
                <w:szCs w:val="22"/>
                <w:lang w:val="en-US" w:eastAsia="zh-CN"/>
              </w:rPr>
            </m:ctrlPr>
          </m:dPr>
          <m:e>
            <m:sSub>
              <m:sSubPr>
                <m:ctrlPr>
                  <w:rPr>
                    <w:rFonts w:ascii="Cambria Math" w:hAnsi="Cambria Math"/>
                    <w:i/>
                    <w:iCs/>
                    <w:color w:val="0D0D0D"/>
                    <w:sz w:val="21"/>
                    <w:szCs w:val="22"/>
                    <w:lang w:val="en-US" w:eastAsia="zh-CN"/>
                  </w:rPr>
                </m:ctrlPr>
              </m:sSubPr>
              <m:e>
                <m:r>
                  <w:rPr>
                    <w:rFonts w:ascii="Cambria Math" w:hAnsi="Cambria Math"/>
                    <w:color w:val="0D0D0D"/>
                    <w:sz w:val="21"/>
                    <w:szCs w:val="22"/>
                    <w:lang w:val="en-US" w:eastAsia="zh-CN"/>
                  </w:rPr>
                  <m:t>t</m:t>
                </m:r>
              </m:e>
              <m:sub>
                <m:r>
                  <w:rPr>
                    <w:rFonts w:ascii="Cambria Math" w:hAnsi="Cambria Math"/>
                    <w:color w:val="0D0D0D"/>
                    <w:sz w:val="21"/>
                    <w:szCs w:val="22"/>
                    <w:lang w:val="en-US" w:eastAsia="zh-CN"/>
                  </w:rPr>
                  <m:t>1</m:t>
                </m:r>
              </m:sub>
            </m:sSub>
          </m:e>
        </m:d>
        <m:r>
          <w:rPr>
            <w:rFonts w:ascii="Cambria Math" w:hAnsi="Cambria Math"/>
            <w:color w:val="0D0D0D"/>
            <w:sz w:val="21"/>
            <w:szCs w:val="22"/>
            <w:lang w:val="en-US" w:eastAsia="zh-CN"/>
          </w:rPr>
          <m:t>=TA</m:t>
        </m:r>
        <m:d>
          <m:dPr>
            <m:ctrlPr>
              <w:rPr>
                <w:rFonts w:ascii="Cambria Math" w:hAnsi="Cambria Math"/>
                <w:i/>
                <w:iCs/>
                <w:color w:val="0D0D0D"/>
                <w:sz w:val="21"/>
                <w:szCs w:val="22"/>
                <w:lang w:val="en-US" w:eastAsia="zh-CN"/>
              </w:rPr>
            </m:ctrlPr>
          </m:dPr>
          <m:e>
            <m:sSub>
              <m:sSubPr>
                <m:ctrlPr>
                  <w:rPr>
                    <w:rFonts w:ascii="Cambria Math" w:hAnsi="Cambria Math"/>
                    <w:i/>
                    <w:iCs/>
                    <w:color w:val="0D0D0D"/>
                    <w:sz w:val="21"/>
                    <w:szCs w:val="22"/>
                    <w:lang w:val="en-US" w:eastAsia="zh-CN"/>
                  </w:rPr>
                </m:ctrlPr>
              </m:sSubPr>
              <m:e>
                <m:r>
                  <w:rPr>
                    <w:rFonts w:ascii="Cambria Math" w:hAnsi="Cambria Math"/>
                    <w:color w:val="0D0D0D"/>
                    <w:sz w:val="21"/>
                    <w:szCs w:val="22"/>
                    <w:lang w:val="en-US" w:eastAsia="zh-CN"/>
                  </w:rPr>
                  <m:t>t</m:t>
                </m:r>
              </m:e>
              <m:sub>
                <m:r>
                  <w:rPr>
                    <w:rFonts w:ascii="Cambria Math" w:hAnsi="Cambria Math"/>
                    <w:color w:val="0D0D0D"/>
                    <w:sz w:val="21"/>
                    <w:szCs w:val="22"/>
                    <w:lang w:val="en-US" w:eastAsia="zh-CN"/>
                  </w:rPr>
                  <m:t>0</m:t>
                </m:r>
              </m:sub>
            </m:sSub>
          </m:e>
        </m:d>
      </m:oMath>
      <w:r>
        <w:rPr>
          <w:iCs/>
          <w:color w:val="0D0D0D"/>
          <w:sz w:val="21"/>
          <w:szCs w:val="22"/>
          <w:lang w:val="en-US" w:eastAsia="zh-CN"/>
        </w:rPr>
        <w:t>. A simple mechanism to guarantee such condition is that:</w:t>
      </w:r>
    </w:p>
    <w:p w:rsidR="00125788" w:rsidRDefault="00216163">
      <w:pPr>
        <w:pStyle w:val="ListParagraph"/>
        <w:numPr>
          <w:ilvl w:val="0"/>
          <w:numId w:val="8"/>
        </w:numPr>
        <w:spacing w:line="240" w:lineRule="auto"/>
        <w:rPr>
          <w:lang w:val="en-US" w:eastAsia="zh-CN"/>
        </w:rPr>
      </w:pPr>
      <w:r>
        <w:rPr>
          <w:lang w:val="en-US" w:eastAsia="zh-CN"/>
        </w:rPr>
        <w:t xml:space="preserve">On the parent node side: </w:t>
      </w:r>
      <w:r w:rsidR="0081716D">
        <w:rPr>
          <w:lang w:val="en-US" w:eastAsia="zh-CN"/>
        </w:rPr>
        <w:t>The parent node should measure and indicate the offset after it ensures the IAB node successfully receives the last TA command (e.g., by a positive CRC check)</w:t>
      </w:r>
      <w:r>
        <w:rPr>
          <w:lang w:val="en-US" w:eastAsia="zh-CN"/>
        </w:rPr>
        <w:t xml:space="preserve"> as well as applies that TA command (when to apply the TA command is specified and therefore can be known to parent)</w:t>
      </w:r>
      <w:r w:rsidR="0081716D">
        <w:rPr>
          <w:lang w:val="en-US" w:eastAsia="zh-CN"/>
        </w:rPr>
        <w:t xml:space="preserve">; </w:t>
      </w:r>
      <w:r>
        <w:rPr>
          <w:lang w:val="en-US" w:eastAsia="zh-CN"/>
        </w:rPr>
        <w:t>the parent</w:t>
      </w:r>
      <w:r w:rsidR="0081716D">
        <w:rPr>
          <w:lang w:val="en-US" w:eastAsia="zh-CN"/>
        </w:rPr>
        <w:t xml:space="preserve"> should issue the next TA command after it ensures the IAB node successfully receives the indication of measured offset (e.g., by a positive CRC check).</w:t>
      </w:r>
    </w:p>
    <w:p w:rsidR="00125788" w:rsidRDefault="00216163">
      <w:pPr>
        <w:pStyle w:val="ListParagraph"/>
        <w:numPr>
          <w:ilvl w:val="0"/>
          <w:numId w:val="8"/>
        </w:numPr>
        <w:spacing w:line="240" w:lineRule="auto"/>
        <w:rPr>
          <w:lang w:val="en-US" w:eastAsia="zh-CN"/>
        </w:rPr>
      </w:pPr>
      <w:r>
        <w:rPr>
          <w:lang w:val="en-US" w:eastAsia="zh-CN"/>
        </w:rPr>
        <w:t xml:space="preserve">On the IAB node side: </w:t>
      </w:r>
      <w:r w:rsidR="0081716D">
        <w:rPr>
          <w:lang w:val="en-US" w:eastAsia="zh-CN"/>
        </w:rPr>
        <w:t>IAB node should measure the TA right after it applies the received TA command. Once it receives an indication of offset</w:t>
      </w:r>
      <w:r>
        <w:rPr>
          <w:lang w:val="en-US" w:eastAsia="zh-CN"/>
        </w:rPr>
        <w:t xml:space="preserve"> from the parent</w:t>
      </w:r>
      <w:r w:rsidR="0081716D">
        <w:rPr>
          <w:lang w:val="en-US" w:eastAsia="zh-CN"/>
        </w:rPr>
        <w:t xml:space="preserve">, it should apply the aforementioned one-way delay </w:t>
      </w:r>
      <w:r>
        <w:rPr>
          <w:lang w:val="en-US" w:eastAsia="zh-CN"/>
        </w:rPr>
        <w:t>calculation</w:t>
      </w:r>
      <w:r w:rsidR="0081716D">
        <w:rPr>
          <w:lang w:val="en-US" w:eastAsia="zh-CN"/>
        </w:rPr>
        <w:t xml:space="preserve"> with the </w:t>
      </w:r>
      <w:r>
        <w:rPr>
          <w:lang w:val="en-US" w:eastAsia="zh-CN"/>
        </w:rPr>
        <w:t xml:space="preserve">indicated </w:t>
      </w:r>
      <w:r w:rsidR="0081716D">
        <w:rPr>
          <w:lang w:val="en-US" w:eastAsia="zh-CN"/>
        </w:rPr>
        <w:t xml:space="preserve">offset and the measured TA that corresponds to the last TA command before receiving the offset indication.   </w:t>
      </w:r>
    </w:p>
    <w:p w:rsidR="00125788" w:rsidRDefault="0081716D">
      <w:pPr>
        <w:spacing w:line="240" w:lineRule="auto"/>
        <w:rPr>
          <w:b/>
          <w:i/>
          <w:lang w:val="en-US" w:eastAsia="zh-CN"/>
        </w:rPr>
      </w:pPr>
      <w:r>
        <w:rPr>
          <w:b/>
          <w:i/>
          <w:lang w:val="en-US" w:eastAsia="zh-CN"/>
        </w:rPr>
        <w:t xml:space="preserve">Observation: </w:t>
      </w:r>
      <w:r w:rsidR="0053325C">
        <w:rPr>
          <w:b/>
          <w:i/>
          <w:lang w:val="en-US" w:eastAsia="zh-CN"/>
        </w:rPr>
        <w:t>For the time-varying TA</w:t>
      </w:r>
      <w:r>
        <w:rPr>
          <w:b/>
          <w:i/>
          <w:lang w:val="en-US" w:eastAsia="zh-CN"/>
        </w:rPr>
        <w:t xml:space="preserve">, not every TA can be used </w:t>
      </w:r>
      <w:r w:rsidR="00BF26BB">
        <w:rPr>
          <w:b/>
          <w:i/>
          <w:lang w:val="en-US" w:eastAsia="zh-CN"/>
        </w:rPr>
        <w:t xml:space="preserve">by IAB node </w:t>
      </w:r>
      <w:r>
        <w:rPr>
          <w:b/>
          <w:i/>
          <w:lang w:val="en-US" w:eastAsia="zh-CN"/>
        </w:rPr>
        <w:t xml:space="preserve">to calculate the one-way propagation delay. Only the “effective TA” that has the same value as the instantaneous TA driving the </w:t>
      </w:r>
      <w:r w:rsidR="00BF26BB">
        <w:rPr>
          <w:b/>
          <w:i/>
          <w:lang w:val="en-US" w:eastAsia="zh-CN"/>
        </w:rPr>
        <w:t xml:space="preserve">parent-measured </w:t>
      </w:r>
      <w:r>
        <w:rPr>
          <w:b/>
          <w:i/>
          <w:lang w:val="en-US" w:eastAsia="zh-CN"/>
        </w:rPr>
        <w:t xml:space="preserve">offset can be used.  </w:t>
      </w:r>
    </w:p>
    <w:p w:rsidR="00125788" w:rsidRDefault="0081716D">
      <w:pPr>
        <w:spacing w:line="240" w:lineRule="auto"/>
        <w:rPr>
          <w:b/>
          <w:i/>
          <w:lang w:val="en-US" w:eastAsia="zh-CN"/>
        </w:rPr>
      </w:pPr>
      <w:r>
        <w:rPr>
          <w:b/>
          <w:i/>
          <w:lang w:val="en-US" w:eastAsia="zh-CN"/>
        </w:rPr>
        <w:t xml:space="preserve">Proposal 1: For the time-varying TA, RAN1 should study the mechanism for the IAB node to obtain the “effective TA”. </w:t>
      </w:r>
    </w:p>
    <w:p w:rsidR="00125788" w:rsidRDefault="0081716D">
      <w:pPr>
        <w:spacing w:line="240" w:lineRule="auto"/>
        <w:rPr>
          <w:lang w:val="en-US" w:eastAsia="zh-CN"/>
        </w:rPr>
      </w:pPr>
      <w:r>
        <w:rPr>
          <w:lang w:val="en-US" w:eastAsia="zh-CN"/>
        </w:rPr>
        <w:t>The mechanism may contain the implicit indication (e.g., the offset indication</w:t>
      </w:r>
      <w:r w:rsidR="0053325C">
        <w:rPr>
          <w:lang w:val="en-US" w:eastAsia="zh-CN"/>
        </w:rPr>
        <w:t xml:space="preserve"> itself</w:t>
      </w:r>
      <w:r w:rsidR="004A65E5">
        <w:rPr>
          <w:lang w:val="en-US" w:eastAsia="zh-CN"/>
        </w:rPr>
        <w:t xml:space="preserve"> in above simple mechanism</w:t>
      </w:r>
      <w:r>
        <w:rPr>
          <w:lang w:val="en-US" w:eastAsia="zh-CN"/>
        </w:rPr>
        <w:t xml:space="preserve">) or explicit indication from the parent node regarding to when for IAB node to identify effective TA. </w:t>
      </w:r>
    </w:p>
    <w:p w:rsidR="004A556E" w:rsidRDefault="004A556E">
      <w:pPr>
        <w:spacing w:line="240" w:lineRule="auto"/>
        <w:rPr>
          <w:lang w:val="en-US" w:eastAsia="zh-CN"/>
        </w:rPr>
      </w:pPr>
      <w:r>
        <w:rPr>
          <w:lang w:val="en-US" w:eastAsia="zh-CN"/>
        </w:rPr>
        <w:t xml:space="preserve">One general assumption for the above OTA-based maintenance of case 1 timing is to have one single DL </w:t>
      </w:r>
      <w:r w:rsidR="004A65E5">
        <w:rPr>
          <w:lang w:val="en-US" w:eastAsia="zh-CN"/>
        </w:rPr>
        <w:t>Tx</w:t>
      </w:r>
      <w:r>
        <w:rPr>
          <w:lang w:val="en-US" w:eastAsia="zh-CN"/>
        </w:rPr>
        <w:t xml:space="preserve"> timing in IAB node to align with one DL Tx timing of the parent node. However, there could be a situation in which the IAB node connects to more than one parent node either simultaneously (e.g., for route redundancy) or consecutively (e.g. for route selection). The IAB WID lists the following task</w:t>
      </w:r>
      <w:r w:rsidR="002651DF">
        <w:rPr>
          <w:lang w:val="en-US" w:eastAsia="zh-CN"/>
        </w:rPr>
        <w:t>s for IAB topology adaptation</w:t>
      </w:r>
      <w:r>
        <w:rPr>
          <w:lang w:val="en-US" w:eastAsia="zh-CN"/>
        </w:rPr>
        <w:t xml:space="preserve">: </w:t>
      </w:r>
    </w:p>
    <w:p w:rsidR="002651DF" w:rsidRPr="00BF26BB" w:rsidRDefault="002651DF" w:rsidP="002651DF">
      <w:pPr>
        <w:pStyle w:val="maintext"/>
        <w:numPr>
          <w:ilvl w:val="1"/>
          <w:numId w:val="11"/>
        </w:numPr>
        <w:spacing w:line="240" w:lineRule="auto"/>
        <w:ind w:firstLineChars="0"/>
        <w:jc w:val="left"/>
        <w:rPr>
          <w:rFonts w:eastAsia="Times New Roman"/>
          <w:i/>
          <w:lang w:eastAsia="en-US"/>
        </w:rPr>
      </w:pPr>
      <w:r w:rsidRPr="00BF26BB">
        <w:rPr>
          <w:rFonts w:eastAsia="Times New Roman"/>
          <w:i/>
          <w:lang w:eastAsia="en-US"/>
        </w:rPr>
        <w:t>Specification of IAB-node migration underneath the same IAB-donor (with or without a change of IAB-donor DU), and between different IAB-donors.Migration of IAB-node could be network-controlled or could be due to BH RLF.</w:t>
      </w:r>
    </w:p>
    <w:p w:rsidR="002651DF" w:rsidRPr="00BF26BB" w:rsidRDefault="002651DF" w:rsidP="002651DF">
      <w:pPr>
        <w:pStyle w:val="maintext"/>
        <w:spacing w:line="240" w:lineRule="auto"/>
        <w:ind w:left="1440" w:firstLineChars="0" w:firstLine="0"/>
        <w:jc w:val="left"/>
        <w:rPr>
          <w:rFonts w:eastAsia="Times New Roman"/>
          <w:i/>
          <w:lang w:eastAsia="en-US"/>
        </w:rPr>
      </w:pPr>
      <w:r w:rsidRPr="00BF26BB">
        <w:rPr>
          <w:rFonts w:eastAsia="Times New Roman"/>
          <w:i/>
          <w:lang w:eastAsia="en-US"/>
        </w:rPr>
        <w:t xml:space="preserve">Support for route redundancy and route selection based on multi-connectivity </w:t>
      </w:r>
      <w:r w:rsidRPr="00BF26BB">
        <w:rPr>
          <w:i/>
        </w:rPr>
        <w:t>(e.g. TR 38.874 clause 9.7)</w:t>
      </w:r>
      <w:r w:rsidRPr="00BF26BB">
        <w:rPr>
          <w:i/>
          <w:color w:val="000000"/>
        </w:rPr>
        <w:t>,</w:t>
      </w:r>
      <w:r w:rsidRPr="00BF26BB">
        <w:rPr>
          <w:rFonts w:eastAsia="Times New Roman"/>
          <w:i/>
          <w:lang w:eastAsia="en-US"/>
        </w:rPr>
        <w:t xml:space="preserve"> leveraging existing NR solutions as well as NR-NR DC</w:t>
      </w:r>
      <w:r w:rsidRPr="00BF26BB">
        <w:rPr>
          <w:rFonts w:eastAsia="Times New Roman"/>
          <w:i/>
        </w:rPr>
        <w:t xml:space="preserve">, without </w:t>
      </w:r>
      <w:r w:rsidRPr="00BF26BB">
        <w:rPr>
          <w:rFonts w:eastAsia="Times New Roman"/>
          <w:i/>
          <w:lang w:eastAsia="en-US"/>
        </w:rPr>
        <w:t>additiona</w:t>
      </w:r>
      <w:r w:rsidRPr="00BF26BB">
        <w:rPr>
          <w:rFonts w:eastAsia="Times New Roman"/>
          <w:i/>
        </w:rPr>
        <w:t>l RAN1 work</w:t>
      </w:r>
      <w:r w:rsidRPr="00BF26BB">
        <w:rPr>
          <w:rFonts w:eastAsia="Times New Roman"/>
          <w:i/>
          <w:lang w:eastAsia="en-US"/>
        </w:rPr>
        <w:t>. (</w:t>
      </w:r>
      <w:r w:rsidRPr="00BF26BB">
        <w:rPr>
          <w:rFonts w:eastAsiaTheme="minorEastAsia" w:hint="eastAsia"/>
          <w:i/>
        </w:rPr>
        <w:t>see NOTE1</w:t>
      </w:r>
      <w:r w:rsidRPr="00BF26BB">
        <w:rPr>
          <w:rFonts w:eastAsia="Times New Roman"/>
          <w:i/>
          <w:lang w:eastAsia="en-US"/>
        </w:rPr>
        <w:t>).</w:t>
      </w:r>
    </w:p>
    <w:p w:rsidR="004A556E" w:rsidRDefault="002651DF">
      <w:pPr>
        <w:spacing w:line="240" w:lineRule="auto"/>
        <w:rPr>
          <w:lang w:val="en-US" w:eastAsia="zh-CN"/>
        </w:rPr>
      </w:pPr>
      <w:r>
        <w:rPr>
          <w:lang w:val="en-US" w:eastAsia="zh-CN"/>
        </w:rPr>
        <w:t>Although the WID claims to introduce no additional RAN1 work</w:t>
      </w:r>
      <w:r w:rsidR="00BF26BB">
        <w:rPr>
          <w:lang w:val="en-US" w:eastAsia="zh-CN"/>
        </w:rPr>
        <w:t xml:space="preserve"> on topology adaptation</w:t>
      </w:r>
      <w:r w:rsidR="00094D1C">
        <w:rPr>
          <w:lang w:val="en-US" w:eastAsia="zh-CN"/>
        </w:rPr>
        <w:t xml:space="preserve">, it remains a question whether RAN1 should consider this scenario, especially the case where the different IAB donors have different DL-Tx timing, when designing the new mechanism for case-1 timing. </w:t>
      </w:r>
    </w:p>
    <w:p w:rsidR="00125788" w:rsidRPr="004A65E5" w:rsidRDefault="00BF26BB" w:rsidP="004A65E5">
      <w:pPr>
        <w:spacing w:line="240" w:lineRule="auto"/>
        <w:rPr>
          <w:b/>
          <w:i/>
          <w:lang w:val="en-US" w:eastAsia="zh-CN"/>
        </w:rPr>
      </w:pPr>
      <w:r>
        <w:rPr>
          <w:b/>
          <w:i/>
          <w:lang w:val="en-US" w:eastAsia="zh-CN"/>
        </w:rPr>
        <w:lastRenderedPageBreak/>
        <w:t xml:space="preserve">Proposal 2: RAN1 decides whether the new case-1 timing mechanism should be impacted by the scenario where one IAB node observes more than one parent node either simultaneously or consecutively. </w:t>
      </w:r>
    </w:p>
    <w:p w:rsidR="00125788" w:rsidRDefault="0081716D" w:rsidP="00217707">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Conclusions</w:t>
      </w:r>
    </w:p>
    <w:p w:rsidR="00125788" w:rsidRDefault="0081716D" w:rsidP="00217707">
      <w:pPr>
        <w:snapToGrid w:val="0"/>
        <w:spacing w:beforeLines="50" w:afterLines="50" w:line="240" w:lineRule="auto"/>
        <w:rPr>
          <w:lang w:val="en-US" w:eastAsia="zh-CN"/>
        </w:rPr>
      </w:pPr>
      <w:r>
        <w:rPr>
          <w:lang w:val="en-US" w:eastAsia="zh-CN"/>
        </w:rPr>
        <w:t>Based on the discussion, we have the following proposals:</w:t>
      </w:r>
    </w:p>
    <w:p w:rsidR="00BF26BB" w:rsidRDefault="00BF26BB" w:rsidP="00BF26BB">
      <w:pPr>
        <w:spacing w:line="240" w:lineRule="auto"/>
        <w:rPr>
          <w:b/>
          <w:i/>
          <w:lang w:val="en-US" w:eastAsia="zh-CN"/>
        </w:rPr>
      </w:pPr>
      <w:r>
        <w:rPr>
          <w:b/>
          <w:i/>
          <w:lang w:val="en-US" w:eastAsia="zh-CN"/>
        </w:rPr>
        <w:t xml:space="preserve">Observation: For the time-varying TA, not every TA can be used by IAB node to calculate the one-way propagation delay. Only the “effective TA” that has the same value as the instantaneous TA driving the parent-measured offset can be used.  </w:t>
      </w:r>
    </w:p>
    <w:p w:rsidR="00BF26BB" w:rsidRDefault="00BF26BB" w:rsidP="00BF26BB">
      <w:pPr>
        <w:spacing w:line="240" w:lineRule="auto"/>
        <w:rPr>
          <w:b/>
          <w:i/>
          <w:lang w:val="en-US" w:eastAsia="zh-CN"/>
        </w:rPr>
      </w:pPr>
      <w:r>
        <w:rPr>
          <w:b/>
          <w:i/>
          <w:lang w:val="en-US" w:eastAsia="zh-CN"/>
        </w:rPr>
        <w:t xml:space="preserve">Proposal 1: For the time-varying TA, RAN1 should study the mechanism for the IAB node to obtain the “effective TA”. </w:t>
      </w:r>
    </w:p>
    <w:p w:rsidR="00216163" w:rsidRDefault="00216163" w:rsidP="00BF26BB">
      <w:pPr>
        <w:spacing w:line="240" w:lineRule="auto"/>
        <w:rPr>
          <w:b/>
          <w:i/>
          <w:lang w:val="en-US" w:eastAsia="zh-CN"/>
        </w:rPr>
      </w:pPr>
      <w:r>
        <w:rPr>
          <w:b/>
          <w:i/>
          <w:lang w:val="en-US" w:eastAsia="zh-CN"/>
        </w:rPr>
        <w:t xml:space="preserve">Proposal 2: RAN1 decides whether the new case-1 timing mechanism should be impacted by the scenario where one IAB node observes more than one parent node either simultaneously or consecutively. </w:t>
      </w:r>
    </w:p>
    <w:p w:rsidR="00125788" w:rsidRDefault="0081716D" w:rsidP="00217707">
      <w:pPr>
        <w:pStyle w:val="Heading1"/>
        <w:keepNext w:val="0"/>
        <w:keepLines w:val="0"/>
        <w:widowControl w:val="0"/>
        <w:numPr>
          <w:ilvl w:val="0"/>
          <w:numId w:val="0"/>
        </w:numPr>
        <w:pBdr>
          <w:top w:val="none" w:sz="0" w:space="0" w:color="auto"/>
        </w:pBdr>
        <w:overflowPunct/>
        <w:snapToGrid w:val="0"/>
        <w:spacing w:beforeLines="5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125788" w:rsidRDefault="0081716D" w:rsidP="00217707">
      <w:pPr>
        <w:pStyle w:val="References"/>
        <w:snapToGrid w:val="0"/>
        <w:spacing w:beforeLines="50" w:afterLines="50" w:line="240" w:lineRule="auto"/>
        <w:rPr>
          <w:szCs w:val="20"/>
          <w:lang w:eastAsia="zh-CN"/>
        </w:rPr>
      </w:pPr>
      <w:r>
        <w:rPr>
          <w:rFonts w:hint="eastAsia"/>
          <w:szCs w:val="20"/>
          <w:lang w:eastAsia="zh-CN"/>
        </w:rPr>
        <w:t xml:space="preserve">RP-182882, </w:t>
      </w:r>
      <w:r>
        <w:rPr>
          <w:szCs w:val="20"/>
          <w:lang w:eastAsia="zh-CN"/>
        </w:rPr>
        <w:t>“</w:t>
      </w:r>
      <w:r>
        <w:rPr>
          <w:rFonts w:hint="eastAsia"/>
          <w:szCs w:val="20"/>
          <w:lang w:eastAsia="zh-CN"/>
        </w:rPr>
        <w:t>New WID: Integrated Access and Backhaul for NR</w:t>
      </w:r>
      <w:r>
        <w:rPr>
          <w:szCs w:val="20"/>
          <w:lang w:eastAsia="zh-CN"/>
        </w:rPr>
        <w:t>”</w:t>
      </w:r>
      <w:r>
        <w:rPr>
          <w:rFonts w:hint="eastAsia"/>
          <w:szCs w:val="20"/>
          <w:lang w:eastAsia="zh-CN"/>
        </w:rPr>
        <w:t>, Qualcomm, RAN #82, 2018-12.</w:t>
      </w:r>
    </w:p>
    <w:p w:rsidR="00125788" w:rsidRDefault="0081716D" w:rsidP="006F6CDE">
      <w:pPr>
        <w:pStyle w:val="References"/>
        <w:snapToGrid w:val="0"/>
        <w:spacing w:beforeLines="50" w:afterLines="50" w:line="240" w:lineRule="auto"/>
        <w:rPr>
          <w:szCs w:val="20"/>
          <w:lang w:eastAsia="zh-CN"/>
        </w:rPr>
      </w:pPr>
      <w:r>
        <w:rPr>
          <w:rFonts w:hint="eastAsia"/>
          <w:szCs w:val="20"/>
          <w:lang w:eastAsia="zh-CN"/>
        </w:rPr>
        <w:t xml:space="preserve">3GPP TR 38.874 v1.0.0: </w:t>
      </w:r>
      <w:r>
        <w:rPr>
          <w:szCs w:val="20"/>
          <w:lang w:eastAsia="zh-CN"/>
        </w:rPr>
        <w:t>“</w:t>
      </w:r>
      <w:r>
        <w:rPr>
          <w:rFonts w:hint="eastAsia"/>
          <w:szCs w:val="20"/>
          <w:lang w:eastAsia="zh-CN"/>
        </w:rPr>
        <w:t>Study on Integrated Access and Backhaul</w:t>
      </w:r>
      <w:r>
        <w:rPr>
          <w:szCs w:val="20"/>
          <w:lang w:eastAsia="zh-CN"/>
        </w:rPr>
        <w:t>”</w:t>
      </w:r>
      <w:r>
        <w:rPr>
          <w:rFonts w:hint="eastAsia"/>
          <w:szCs w:val="20"/>
          <w:lang w:eastAsia="zh-CN"/>
        </w:rPr>
        <w:t>, 2018-12.</w:t>
      </w:r>
    </w:p>
    <w:sectPr w:rsidR="00125788" w:rsidSect="006F6CDE">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1F4" w:rsidRDefault="003961F4">
      <w:pPr>
        <w:spacing w:after="0" w:line="240" w:lineRule="auto"/>
      </w:pPr>
      <w:r>
        <w:separator/>
      </w:r>
    </w:p>
  </w:endnote>
  <w:endnote w:type="continuationSeparator" w:id="1">
    <w:p w:rsidR="003961F4" w:rsidRDefault="003961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MS Gothic"/>
    <w:charset w:val="80"/>
    <w:family w:val="roman"/>
    <w:pitch w:val="default"/>
    <w:sig w:usb0="00000000" w:usb1="0000000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6378"/>
    </w:sdtPr>
    <w:sdtContent>
      <w:p w:rsidR="00125788" w:rsidRDefault="006F6CDE">
        <w:pPr>
          <w:pStyle w:val="Footer"/>
          <w:jc w:val="center"/>
        </w:pPr>
        <w:r>
          <w:fldChar w:fldCharType="begin"/>
        </w:r>
        <w:r w:rsidR="0081716D">
          <w:instrText xml:space="preserve"> PAGE   \* MERGEFORMAT </w:instrText>
        </w:r>
        <w:r>
          <w:fldChar w:fldCharType="separate"/>
        </w:r>
        <w:r w:rsidR="006E7B93">
          <w:rPr>
            <w:noProof/>
          </w:rPr>
          <w:t>1</w:t>
        </w:r>
        <w:r>
          <w:fldChar w:fldCharType="end"/>
        </w:r>
      </w:p>
    </w:sdtContent>
  </w:sdt>
  <w:p w:rsidR="00125788" w:rsidRDefault="001257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1F4" w:rsidRDefault="003961F4">
      <w:pPr>
        <w:spacing w:after="0" w:line="240" w:lineRule="auto"/>
      </w:pPr>
      <w:r>
        <w:separator/>
      </w:r>
    </w:p>
  </w:footnote>
  <w:footnote w:type="continuationSeparator" w:id="1">
    <w:p w:rsidR="003961F4" w:rsidRDefault="003961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nsid w:val="407D4F5D"/>
    <w:multiLevelType w:val="multilevel"/>
    <w:tmpl w:val="407D4F5D"/>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nsid w:val="41FBAAC9"/>
    <w:multiLevelType w:val="singleLevel"/>
    <w:tmpl w:val="41FBAAC9"/>
    <w:lvl w:ilvl="0">
      <w:start w:val="1"/>
      <w:numFmt w:val="bullet"/>
      <w:lvlText w:val=""/>
      <w:lvlJc w:val="left"/>
      <w:pPr>
        <w:ind w:left="420" w:hanging="420"/>
      </w:pPr>
      <w:rPr>
        <w:rFonts w:ascii="Wingdings" w:hAnsi="Wing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F61B843"/>
    <w:multiLevelType w:val="singleLevel"/>
    <w:tmpl w:val="5F61B843"/>
    <w:lvl w:ilvl="0">
      <w:start w:val="1"/>
      <w:numFmt w:val="bullet"/>
      <w:lvlText w:val=""/>
      <w:lvlJc w:val="left"/>
      <w:pPr>
        <w:ind w:left="420" w:hanging="420"/>
      </w:pPr>
      <w:rPr>
        <w:rFonts w:ascii="Wingdings" w:hAnsi="Wingdings" w:hint="default"/>
      </w:rPr>
    </w:lvl>
  </w:abstractNum>
  <w:abstractNum w:abstractNumId="8">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78260F2B"/>
    <w:multiLevelType w:val="multilevel"/>
    <w:tmpl w:val="78260F2B"/>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1"/>
  </w:num>
  <w:num w:numId="4">
    <w:abstractNumId w:val="2"/>
  </w:num>
  <w:num w:numId="5">
    <w:abstractNumId w:val="4"/>
  </w:num>
  <w:num w:numId="6">
    <w:abstractNumId w:val="6"/>
  </w:num>
  <w:num w:numId="7">
    <w:abstractNumId w:val="10"/>
  </w:num>
  <w:num w:numId="8">
    <w:abstractNumId w:val="3"/>
  </w:num>
  <w:num w:numId="9">
    <w:abstractNumId w:val="5"/>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200"/>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2C0"/>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788"/>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5A6"/>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AE7"/>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FA8"/>
    <w:rsid w:val="00216122"/>
    <w:rsid w:val="00216163"/>
    <w:rsid w:val="00216772"/>
    <w:rsid w:val="00216B41"/>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E7"/>
    <w:rsid w:val="002D5C4F"/>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C74"/>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8C7"/>
    <w:rsid w:val="00397CC0"/>
    <w:rsid w:val="003A0233"/>
    <w:rsid w:val="003A043C"/>
    <w:rsid w:val="003A0635"/>
    <w:rsid w:val="003A0A40"/>
    <w:rsid w:val="003A0A90"/>
    <w:rsid w:val="003A11A1"/>
    <w:rsid w:val="003A1335"/>
    <w:rsid w:val="003A136C"/>
    <w:rsid w:val="003A178D"/>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5FB1"/>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138"/>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6E"/>
    <w:rsid w:val="004A557B"/>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25C"/>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37FED"/>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98C"/>
    <w:rsid w:val="00573FC4"/>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DC6"/>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8B"/>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9BD"/>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7399"/>
    <w:rsid w:val="006E78F4"/>
    <w:rsid w:val="006E7B93"/>
    <w:rsid w:val="006E7CC8"/>
    <w:rsid w:val="006E7CD0"/>
    <w:rsid w:val="006E7E42"/>
    <w:rsid w:val="006F0070"/>
    <w:rsid w:val="006F02E5"/>
    <w:rsid w:val="006F0689"/>
    <w:rsid w:val="006F070F"/>
    <w:rsid w:val="006F0817"/>
    <w:rsid w:val="006F0916"/>
    <w:rsid w:val="006F0D58"/>
    <w:rsid w:val="006F1571"/>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27"/>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16D"/>
    <w:rsid w:val="008173CC"/>
    <w:rsid w:val="008176F8"/>
    <w:rsid w:val="00817CE1"/>
    <w:rsid w:val="00820139"/>
    <w:rsid w:val="00820584"/>
    <w:rsid w:val="0082065E"/>
    <w:rsid w:val="008206CA"/>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867"/>
    <w:rsid w:val="00830CF1"/>
    <w:rsid w:val="00830D13"/>
    <w:rsid w:val="00830E67"/>
    <w:rsid w:val="00830F76"/>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20D1"/>
    <w:rsid w:val="0084221A"/>
    <w:rsid w:val="00842384"/>
    <w:rsid w:val="00842DB6"/>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50068"/>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4170"/>
    <w:rsid w:val="009C4187"/>
    <w:rsid w:val="009C43E9"/>
    <w:rsid w:val="009C44E2"/>
    <w:rsid w:val="009C46A1"/>
    <w:rsid w:val="009C4BF3"/>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830"/>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672"/>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37B"/>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0E3"/>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2EBB"/>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5F0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55A"/>
    <w:rsid w:val="00BA7B59"/>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6BB"/>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22A"/>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C7"/>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782"/>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B76"/>
    <w:rsid w:val="00DE0BCD"/>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384"/>
    <w:rsid w:val="00E24A65"/>
    <w:rsid w:val="00E24C2E"/>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A1C"/>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5CB"/>
    <w:rsid w:val="00E707EE"/>
    <w:rsid w:val="00E70D91"/>
    <w:rsid w:val="00E71815"/>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BF3"/>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7F8"/>
    <w:rsid w:val="00F0094C"/>
    <w:rsid w:val="00F00B82"/>
    <w:rsid w:val="00F00B9F"/>
    <w:rsid w:val="00F00F07"/>
    <w:rsid w:val="00F00F97"/>
    <w:rsid w:val="00F01574"/>
    <w:rsid w:val="00F01A8A"/>
    <w:rsid w:val="00F01BF5"/>
    <w:rsid w:val="00F01D3B"/>
    <w:rsid w:val="00F02074"/>
    <w:rsid w:val="00F0219F"/>
    <w:rsid w:val="00F022C6"/>
    <w:rsid w:val="00F025A4"/>
    <w:rsid w:val="00F0293D"/>
    <w:rsid w:val="00F02B56"/>
    <w:rsid w:val="00F02BA5"/>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A0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31423"/>
    <w:rsid w:val="01037E50"/>
    <w:rsid w:val="010B0F88"/>
    <w:rsid w:val="011A16B5"/>
    <w:rsid w:val="011A2183"/>
    <w:rsid w:val="012A55CA"/>
    <w:rsid w:val="013F1E12"/>
    <w:rsid w:val="01451E1C"/>
    <w:rsid w:val="0157614C"/>
    <w:rsid w:val="016E440C"/>
    <w:rsid w:val="01AA2676"/>
    <w:rsid w:val="01CB62CF"/>
    <w:rsid w:val="01D63677"/>
    <w:rsid w:val="01E12CF9"/>
    <w:rsid w:val="020A7D33"/>
    <w:rsid w:val="023E1FA3"/>
    <w:rsid w:val="02540EA4"/>
    <w:rsid w:val="026C4C20"/>
    <w:rsid w:val="02935C19"/>
    <w:rsid w:val="02AB5ADB"/>
    <w:rsid w:val="02C31A64"/>
    <w:rsid w:val="02D43BF4"/>
    <w:rsid w:val="02F823BF"/>
    <w:rsid w:val="02F8607A"/>
    <w:rsid w:val="02FD2351"/>
    <w:rsid w:val="030524F4"/>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74044F"/>
    <w:rsid w:val="047E2361"/>
    <w:rsid w:val="048834AA"/>
    <w:rsid w:val="04901338"/>
    <w:rsid w:val="04C424A3"/>
    <w:rsid w:val="04CF2780"/>
    <w:rsid w:val="04E5085A"/>
    <w:rsid w:val="04E646DD"/>
    <w:rsid w:val="04FA11C4"/>
    <w:rsid w:val="050B19EB"/>
    <w:rsid w:val="0517633A"/>
    <w:rsid w:val="0518471A"/>
    <w:rsid w:val="051A027D"/>
    <w:rsid w:val="051A6104"/>
    <w:rsid w:val="05276E05"/>
    <w:rsid w:val="05341681"/>
    <w:rsid w:val="05642CFA"/>
    <w:rsid w:val="056444ED"/>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6457EE"/>
    <w:rsid w:val="07986F18"/>
    <w:rsid w:val="07B13969"/>
    <w:rsid w:val="07BB377F"/>
    <w:rsid w:val="07C261AD"/>
    <w:rsid w:val="07D8514D"/>
    <w:rsid w:val="07DB2A0E"/>
    <w:rsid w:val="07DC50C6"/>
    <w:rsid w:val="07EE3DCE"/>
    <w:rsid w:val="07F40F04"/>
    <w:rsid w:val="080774BA"/>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C1A6A"/>
    <w:rsid w:val="0B7A77CE"/>
    <w:rsid w:val="0B9F5E6C"/>
    <w:rsid w:val="0BA21E31"/>
    <w:rsid w:val="0BAC35C7"/>
    <w:rsid w:val="0BB42835"/>
    <w:rsid w:val="0BB5438F"/>
    <w:rsid w:val="0BC01510"/>
    <w:rsid w:val="0BDA6032"/>
    <w:rsid w:val="0BED5665"/>
    <w:rsid w:val="0BFC70BF"/>
    <w:rsid w:val="0C03624F"/>
    <w:rsid w:val="0C1169F1"/>
    <w:rsid w:val="0C147704"/>
    <w:rsid w:val="0C236BD7"/>
    <w:rsid w:val="0C3875B0"/>
    <w:rsid w:val="0C455C95"/>
    <w:rsid w:val="0C524C2B"/>
    <w:rsid w:val="0C592BC7"/>
    <w:rsid w:val="0C5E1B2F"/>
    <w:rsid w:val="0C627B58"/>
    <w:rsid w:val="0C7B244A"/>
    <w:rsid w:val="0CA02DA8"/>
    <w:rsid w:val="0CA112AF"/>
    <w:rsid w:val="0CCD1788"/>
    <w:rsid w:val="0CCE0855"/>
    <w:rsid w:val="0CDE1ED2"/>
    <w:rsid w:val="0D105BED"/>
    <w:rsid w:val="0D173DDA"/>
    <w:rsid w:val="0D2E1925"/>
    <w:rsid w:val="0D336840"/>
    <w:rsid w:val="0D390BAD"/>
    <w:rsid w:val="0D4A0285"/>
    <w:rsid w:val="0D4D45A1"/>
    <w:rsid w:val="0D515651"/>
    <w:rsid w:val="0D5E3BFD"/>
    <w:rsid w:val="0D721ABF"/>
    <w:rsid w:val="0D7A6738"/>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D96DFC"/>
    <w:rsid w:val="0F0024F5"/>
    <w:rsid w:val="0F271BBE"/>
    <w:rsid w:val="0F355D09"/>
    <w:rsid w:val="0F381CBC"/>
    <w:rsid w:val="0F3D20EE"/>
    <w:rsid w:val="0F4126CA"/>
    <w:rsid w:val="0F4315F3"/>
    <w:rsid w:val="0F4E4AD8"/>
    <w:rsid w:val="0F5A2272"/>
    <w:rsid w:val="0F6C688E"/>
    <w:rsid w:val="0F773022"/>
    <w:rsid w:val="0F8A728B"/>
    <w:rsid w:val="0F946B91"/>
    <w:rsid w:val="0FA71A48"/>
    <w:rsid w:val="0FBE3367"/>
    <w:rsid w:val="0FCF1C75"/>
    <w:rsid w:val="10057A91"/>
    <w:rsid w:val="100E053B"/>
    <w:rsid w:val="1023490E"/>
    <w:rsid w:val="10237D94"/>
    <w:rsid w:val="1028415E"/>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20F6BF7"/>
    <w:rsid w:val="125376F1"/>
    <w:rsid w:val="127568AA"/>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AF3FA3"/>
    <w:rsid w:val="15C632BF"/>
    <w:rsid w:val="15DB5F70"/>
    <w:rsid w:val="15FA2CB6"/>
    <w:rsid w:val="15FC03D9"/>
    <w:rsid w:val="160778D9"/>
    <w:rsid w:val="161339C6"/>
    <w:rsid w:val="16133FFD"/>
    <w:rsid w:val="161477A7"/>
    <w:rsid w:val="16212FD4"/>
    <w:rsid w:val="16231CFE"/>
    <w:rsid w:val="163E45A9"/>
    <w:rsid w:val="1653345E"/>
    <w:rsid w:val="165F3C4E"/>
    <w:rsid w:val="16647E63"/>
    <w:rsid w:val="166B7A04"/>
    <w:rsid w:val="16710A24"/>
    <w:rsid w:val="16881A86"/>
    <w:rsid w:val="168C2821"/>
    <w:rsid w:val="16A54903"/>
    <w:rsid w:val="16AD0B16"/>
    <w:rsid w:val="16AF67E8"/>
    <w:rsid w:val="16B07543"/>
    <w:rsid w:val="16D524C2"/>
    <w:rsid w:val="16D77995"/>
    <w:rsid w:val="16DB050C"/>
    <w:rsid w:val="16DB5EB1"/>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8123634"/>
    <w:rsid w:val="18272178"/>
    <w:rsid w:val="18274DE7"/>
    <w:rsid w:val="183C6CD7"/>
    <w:rsid w:val="18532543"/>
    <w:rsid w:val="18597EE3"/>
    <w:rsid w:val="185C7A2D"/>
    <w:rsid w:val="186671A5"/>
    <w:rsid w:val="18674A2B"/>
    <w:rsid w:val="1868696C"/>
    <w:rsid w:val="187A4A89"/>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A2278AF"/>
    <w:rsid w:val="1A465525"/>
    <w:rsid w:val="1A574462"/>
    <w:rsid w:val="1A5F58B7"/>
    <w:rsid w:val="1A63340E"/>
    <w:rsid w:val="1A7B0021"/>
    <w:rsid w:val="1AA90F3B"/>
    <w:rsid w:val="1AC579F4"/>
    <w:rsid w:val="1AC72A24"/>
    <w:rsid w:val="1ADD4E9B"/>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644421"/>
    <w:rsid w:val="1C645A89"/>
    <w:rsid w:val="1C6B5D6B"/>
    <w:rsid w:val="1C8F7495"/>
    <w:rsid w:val="1C9D5EA9"/>
    <w:rsid w:val="1CA96375"/>
    <w:rsid w:val="1CB3441D"/>
    <w:rsid w:val="1CD433B1"/>
    <w:rsid w:val="1CEE333F"/>
    <w:rsid w:val="1CF03140"/>
    <w:rsid w:val="1D010E2F"/>
    <w:rsid w:val="1D040918"/>
    <w:rsid w:val="1D14311C"/>
    <w:rsid w:val="1D2D4859"/>
    <w:rsid w:val="1D3927A9"/>
    <w:rsid w:val="1D434B65"/>
    <w:rsid w:val="1D574284"/>
    <w:rsid w:val="1D5954FB"/>
    <w:rsid w:val="1D685E0D"/>
    <w:rsid w:val="1D7E2743"/>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E7CF3"/>
    <w:rsid w:val="1EEB2D29"/>
    <w:rsid w:val="1EEB694E"/>
    <w:rsid w:val="1EF95D33"/>
    <w:rsid w:val="1F221713"/>
    <w:rsid w:val="1F257457"/>
    <w:rsid w:val="1F2B3466"/>
    <w:rsid w:val="1F3C4509"/>
    <w:rsid w:val="1F3E253E"/>
    <w:rsid w:val="1F597E89"/>
    <w:rsid w:val="1F5F0480"/>
    <w:rsid w:val="1F6C6052"/>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10A73FA"/>
    <w:rsid w:val="21123248"/>
    <w:rsid w:val="21186E95"/>
    <w:rsid w:val="212E17DE"/>
    <w:rsid w:val="214E15B7"/>
    <w:rsid w:val="215D403A"/>
    <w:rsid w:val="216C5072"/>
    <w:rsid w:val="217832EA"/>
    <w:rsid w:val="217C1ADA"/>
    <w:rsid w:val="21870816"/>
    <w:rsid w:val="219A27E0"/>
    <w:rsid w:val="21BE0CEA"/>
    <w:rsid w:val="21BF716D"/>
    <w:rsid w:val="21CA4B08"/>
    <w:rsid w:val="21CC13AD"/>
    <w:rsid w:val="21D945D4"/>
    <w:rsid w:val="21DC2566"/>
    <w:rsid w:val="21E15531"/>
    <w:rsid w:val="21EE59BC"/>
    <w:rsid w:val="2220413E"/>
    <w:rsid w:val="222A3D6A"/>
    <w:rsid w:val="223E0357"/>
    <w:rsid w:val="224B00CD"/>
    <w:rsid w:val="2254365D"/>
    <w:rsid w:val="2268238A"/>
    <w:rsid w:val="226E188A"/>
    <w:rsid w:val="22721634"/>
    <w:rsid w:val="22804BD1"/>
    <w:rsid w:val="22B6780D"/>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41F68A3"/>
    <w:rsid w:val="242B4A9D"/>
    <w:rsid w:val="244A200B"/>
    <w:rsid w:val="24554E42"/>
    <w:rsid w:val="2472612D"/>
    <w:rsid w:val="2476722A"/>
    <w:rsid w:val="248765B9"/>
    <w:rsid w:val="248A4868"/>
    <w:rsid w:val="24983B2C"/>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2960D5"/>
    <w:rsid w:val="26351476"/>
    <w:rsid w:val="263E1B21"/>
    <w:rsid w:val="26437B04"/>
    <w:rsid w:val="264A7C8E"/>
    <w:rsid w:val="26550BB5"/>
    <w:rsid w:val="267F7CCB"/>
    <w:rsid w:val="268B116C"/>
    <w:rsid w:val="26965391"/>
    <w:rsid w:val="26C92A5D"/>
    <w:rsid w:val="26E64C3D"/>
    <w:rsid w:val="26FF265A"/>
    <w:rsid w:val="270873C0"/>
    <w:rsid w:val="270A5F76"/>
    <w:rsid w:val="27412902"/>
    <w:rsid w:val="277F40CD"/>
    <w:rsid w:val="278331F7"/>
    <w:rsid w:val="27910A2B"/>
    <w:rsid w:val="27936332"/>
    <w:rsid w:val="279B12F0"/>
    <w:rsid w:val="27AE3108"/>
    <w:rsid w:val="27BB27F2"/>
    <w:rsid w:val="27D243EC"/>
    <w:rsid w:val="27E1651B"/>
    <w:rsid w:val="281A0D8F"/>
    <w:rsid w:val="28486AE1"/>
    <w:rsid w:val="287827F8"/>
    <w:rsid w:val="287D4CF2"/>
    <w:rsid w:val="28943DC3"/>
    <w:rsid w:val="289A3F5B"/>
    <w:rsid w:val="28AF6B95"/>
    <w:rsid w:val="28C05999"/>
    <w:rsid w:val="28EF5EE4"/>
    <w:rsid w:val="290F34F8"/>
    <w:rsid w:val="291925B7"/>
    <w:rsid w:val="29371425"/>
    <w:rsid w:val="293E5C5F"/>
    <w:rsid w:val="2952121D"/>
    <w:rsid w:val="296405EB"/>
    <w:rsid w:val="296B786B"/>
    <w:rsid w:val="2979074B"/>
    <w:rsid w:val="297C22F5"/>
    <w:rsid w:val="29961799"/>
    <w:rsid w:val="29A74B56"/>
    <w:rsid w:val="29B464DF"/>
    <w:rsid w:val="29BD12FC"/>
    <w:rsid w:val="29C56CA8"/>
    <w:rsid w:val="29DD7849"/>
    <w:rsid w:val="29DF1CA2"/>
    <w:rsid w:val="29E57AC6"/>
    <w:rsid w:val="29F07FC6"/>
    <w:rsid w:val="29F31AB1"/>
    <w:rsid w:val="2A053714"/>
    <w:rsid w:val="2A072A58"/>
    <w:rsid w:val="2A1B0131"/>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AC169D"/>
    <w:rsid w:val="2CB62608"/>
    <w:rsid w:val="2CDB3D05"/>
    <w:rsid w:val="2CE703C8"/>
    <w:rsid w:val="2CE86041"/>
    <w:rsid w:val="2CFA5D85"/>
    <w:rsid w:val="2D176745"/>
    <w:rsid w:val="2D25043B"/>
    <w:rsid w:val="2D264E2E"/>
    <w:rsid w:val="2D2961A8"/>
    <w:rsid w:val="2D3D67E2"/>
    <w:rsid w:val="2D5B45A1"/>
    <w:rsid w:val="2D631CC3"/>
    <w:rsid w:val="2D6851CD"/>
    <w:rsid w:val="2D892700"/>
    <w:rsid w:val="2D900049"/>
    <w:rsid w:val="2DA341A5"/>
    <w:rsid w:val="2DCE1F7C"/>
    <w:rsid w:val="2DE444EA"/>
    <w:rsid w:val="2E060208"/>
    <w:rsid w:val="2E061736"/>
    <w:rsid w:val="2E293F93"/>
    <w:rsid w:val="2E386DDD"/>
    <w:rsid w:val="2E490342"/>
    <w:rsid w:val="2E4C1F85"/>
    <w:rsid w:val="2E6465F9"/>
    <w:rsid w:val="2E717BAB"/>
    <w:rsid w:val="2EBD6CD9"/>
    <w:rsid w:val="2EC67387"/>
    <w:rsid w:val="2ECE3901"/>
    <w:rsid w:val="2EE40E58"/>
    <w:rsid w:val="2EF10707"/>
    <w:rsid w:val="2F001E62"/>
    <w:rsid w:val="2F003AE7"/>
    <w:rsid w:val="2F1225E6"/>
    <w:rsid w:val="2F3E77F8"/>
    <w:rsid w:val="2F450721"/>
    <w:rsid w:val="2F523D35"/>
    <w:rsid w:val="2F803C34"/>
    <w:rsid w:val="2F8912B8"/>
    <w:rsid w:val="2FA942D2"/>
    <w:rsid w:val="2FB6760A"/>
    <w:rsid w:val="2FC63307"/>
    <w:rsid w:val="2FC74784"/>
    <w:rsid w:val="2FC96AE8"/>
    <w:rsid w:val="2FCF3DE6"/>
    <w:rsid w:val="2FD06F90"/>
    <w:rsid w:val="2FD2361C"/>
    <w:rsid w:val="2FDD74AD"/>
    <w:rsid w:val="2FE87175"/>
    <w:rsid w:val="2FF2434A"/>
    <w:rsid w:val="2FFD6456"/>
    <w:rsid w:val="30013642"/>
    <w:rsid w:val="300E20BF"/>
    <w:rsid w:val="30182338"/>
    <w:rsid w:val="301D0E50"/>
    <w:rsid w:val="3030251F"/>
    <w:rsid w:val="307A0193"/>
    <w:rsid w:val="308E7C5F"/>
    <w:rsid w:val="30930305"/>
    <w:rsid w:val="30D3781C"/>
    <w:rsid w:val="30E92B77"/>
    <w:rsid w:val="30EA0E65"/>
    <w:rsid w:val="31096DCF"/>
    <w:rsid w:val="313B1006"/>
    <w:rsid w:val="31445D4E"/>
    <w:rsid w:val="31493135"/>
    <w:rsid w:val="316B3B1E"/>
    <w:rsid w:val="317D7554"/>
    <w:rsid w:val="3192250F"/>
    <w:rsid w:val="31BC5670"/>
    <w:rsid w:val="31BD73F5"/>
    <w:rsid w:val="31CD1489"/>
    <w:rsid w:val="31D50EDC"/>
    <w:rsid w:val="31EE2C19"/>
    <w:rsid w:val="31EE3426"/>
    <w:rsid w:val="31F21161"/>
    <w:rsid w:val="3202775B"/>
    <w:rsid w:val="32063C82"/>
    <w:rsid w:val="323245E0"/>
    <w:rsid w:val="3256766B"/>
    <w:rsid w:val="326E5277"/>
    <w:rsid w:val="3283420F"/>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216278"/>
    <w:rsid w:val="34285271"/>
    <w:rsid w:val="34295259"/>
    <w:rsid w:val="34344E30"/>
    <w:rsid w:val="34396B2F"/>
    <w:rsid w:val="343A1425"/>
    <w:rsid w:val="344C7ADE"/>
    <w:rsid w:val="344D40D9"/>
    <w:rsid w:val="345D14F4"/>
    <w:rsid w:val="34825D3F"/>
    <w:rsid w:val="348C02B0"/>
    <w:rsid w:val="349866FB"/>
    <w:rsid w:val="34D136EA"/>
    <w:rsid w:val="34DA2D73"/>
    <w:rsid w:val="34DF5149"/>
    <w:rsid w:val="34E953B7"/>
    <w:rsid w:val="34FF664E"/>
    <w:rsid w:val="35083E92"/>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423A8"/>
    <w:rsid w:val="36C74811"/>
    <w:rsid w:val="36D25EEC"/>
    <w:rsid w:val="36D3254A"/>
    <w:rsid w:val="36E22A99"/>
    <w:rsid w:val="36E54466"/>
    <w:rsid w:val="36E64FFA"/>
    <w:rsid w:val="36E67A1B"/>
    <w:rsid w:val="36E9150B"/>
    <w:rsid w:val="372439BD"/>
    <w:rsid w:val="372D009D"/>
    <w:rsid w:val="372D1EC0"/>
    <w:rsid w:val="373540F3"/>
    <w:rsid w:val="37403756"/>
    <w:rsid w:val="374110C9"/>
    <w:rsid w:val="37556A10"/>
    <w:rsid w:val="376821D9"/>
    <w:rsid w:val="377826EA"/>
    <w:rsid w:val="37846253"/>
    <w:rsid w:val="379B1D17"/>
    <w:rsid w:val="37A20591"/>
    <w:rsid w:val="37B96FDA"/>
    <w:rsid w:val="37D36EE1"/>
    <w:rsid w:val="37E67B97"/>
    <w:rsid w:val="37E86717"/>
    <w:rsid w:val="38194301"/>
    <w:rsid w:val="382140F6"/>
    <w:rsid w:val="383D3B3B"/>
    <w:rsid w:val="3844381F"/>
    <w:rsid w:val="38480F09"/>
    <w:rsid w:val="38580EFE"/>
    <w:rsid w:val="386B2F81"/>
    <w:rsid w:val="38764089"/>
    <w:rsid w:val="38BE7EEA"/>
    <w:rsid w:val="38D3438C"/>
    <w:rsid w:val="38D57DEC"/>
    <w:rsid w:val="38DF59EE"/>
    <w:rsid w:val="38E04B11"/>
    <w:rsid w:val="38F01980"/>
    <w:rsid w:val="38F22A6D"/>
    <w:rsid w:val="38F912B4"/>
    <w:rsid w:val="38FE0893"/>
    <w:rsid w:val="39232D85"/>
    <w:rsid w:val="393336A3"/>
    <w:rsid w:val="393B6513"/>
    <w:rsid w:val="39490BE2"/>
    <w:rsid w:val="39563ACD"/>
    <w:rsid w:val="395708DC"/>
    <w:rsid w:val="395A2A4B"/>
    <w:rsid w:val="397A4936"/>
    <w:rsid w:val="399762CA"/>
    <w:rsid w:val="399F1BEB"/>
    <w:rsid w:val="39B1692D"/>
    <w:rsid w:val="39B94823"/>
    <w:rsid w:val="39E802DA"/>
    <w:rsid w:val="3A010C21"/>
    <w:rsid w:val="3A0753C9"/>
    <w:rsid w:val="3A2B6B6B"/>
    <w:rsid w:val="3A2C4069"/>
    <w:rsid w:val="3A350463"/>
    <w:rsid w:val="3A563D7A"/>
    <w:rsid w:val="3A5B72CE"/>
    <w:rsid w:val="3A66244E"/>
    <w:rsid w:val="3A836CC6"/>
    <w:rsid w:val="3AA17240"/>
    <w:rsid w:val="3AA84D36"/>
    <w:rsid w:val="3B09477D"/>
    <w:rsid w:val="3B0C1E29"/>
    <w:rsid w:val="3B1706CA"/>
    <w:rsid w:val="3B274733"/>
    <w:rsid w:val="3B336BE4"/>
    <w:rsid w:val="3B4C2593"/>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F5B04"/>
    <w:rsid w:val="3D0061FE"/>
    <w:rsid w:val="3D291D5A"/>
    <w:rsid w:val="3D2C2DBE"/>
    <w:rsid w:val="3D3937E9"/>
    <w:rsid w:val="3D4C684B"/>
    <w:rsid w:val="3D78393E"/>
    <w:rsid w:val="3D922649"/>
    <w:rsid w:val="3D935932"/>
    <w:rsid w:val="3DA21D7F"/>
    <w:rsid w:val="3DA322FD"/>
    <w:rsid w:val="3DBD4F44"/>
    <w:rsid w:val="3DEE0B46"/>
    <w:rsid w:val="3E2736F2"/>
    <w:rsid w:val="3E2A215C"/>
    <w:rsid w:val="3E455567"/>
    <w:rsid w:val="3E4976F2"/>
    <w:rsid w:val="3E6A7EEE"/>
    <w:rsid w:val="3E7671A9"/>
    <w:rsid w:val="3E8C3582"/>
    <w:rsid w:val="3E902338"/>
    <w:rsid w:val="3EBA4448"/>
    <w:rsid w:val="3ED8534C"/>
    <w:rsid w:val="3F0B2C84"/>
    <w:rsid w:val="3F0E6172"/>
    <w:rsid w:val="3F296ABF"/>
    <w:rsid w:val="3F5D4AA8"/>
    <w:rsid w:val="3F5E745E"/>
    <w:rsid w:val="3F6F2ED4"/>
    <w:rsid w:val="3F98483F"/>
    <w:rsid w:val="40064E5A"/>
    <w:rsid w:val="40082E59"/>
    <w:rsid w:val="40092CFB"/>
    <w:rsid w:val="400E4ABA"/>
    <w:rsid w:val="401068E5"/>
    <w:rsid w:val="401C0CE6"/>
    <w:rsid w:val="40324C8F"/>
    <w:rsid w:val="40341471"/>
    <w:rsid w:val="40486F0A"/>
    <w:rsid w:val="405E0506"/>
    <w:rsid w:val="406A4F64"/>
    <w:rsid w:val="40715159"/>
    <w:rsid w:val="4074648B"/>
    <w:rsid w:val="407568C8"/>
    <w:rsid w:val="407F30AE"/>
    <w:rsid w:val="409F2F81"/>
    <w:rsid w:val="40A87A80"/>
    <w:rsid w:val="40AB4B80"/>
    <w:rsid w:val="40B7241A"/>
    <w:rsid w:val="40B77940"/>
    <w:rsid w:val="40D17BF5"/>
    <w:rsid w:val="40DC77C5"/>
    <w:rsid w:val="40E13C2B"/>
    <w:rsid w:val="412F1650"/>
    <w:rsid w:val="413079C7"/>
    <w:rsid w:val="4135140A"/>
    <w:rsid w:val="414E09B6"/>
    <w:rsid w:val="41936CC9"/>
    <w:rsid w:val="41937728"/>
    <w:rsid w:val="419A600E"/>
    <w:rsid w:val="419B287F"/>
    <w:rsid w:val="419E72BB"/>
    <w:rsid w:val="41BB3084"/>
    <w:rsid w:val="41DC20A5"/>
    <w:rsid w:val="41E61C86"/>
    <w:rsid w:val="41FF5661"/>
    <w:rsid w:val="42054C8F"/>
    <w:rsid w:val="420C71E7"/>
    <w:rsid w:val="421058FC"/>
    <w:rsid w:val="424C07A2"/>
    <w:rsid w:val="427E1035"/>
    <w:rsid w:val="427F0B96"/>
    <w:rsid w:val="4291469F"/>
    <w:rsid w:val="429429E3"/>
    <w:rsid w:val="42A31E36"/>
    <w:rsid w:val="42A45539"/>
    <w:rsid w:val="42D527C2"/>
    <w:rsid w:val="42E0676E"/>
    <w:rsid w:val="431403CD"/>
    <w:rsid w:val="431B6501"/>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42C10"/>
    <w:rsid w:val="450C1A60"/>
    <w:rsid w:val="451F0930"/>
    <w:rsid w:val="455C4774"/>
    <w:rsid w:val="455E2EED"/>
    <w:rsid w:val="45647902"/>
    <w:rsid w:val="45A32961"/>
    <w:rsid w:val="45C40ACA"/>
    <w:rsid w:val="45C927AB"/>
    <w:rsid w:val="463225A4"/>
    <w:rsid w:val="4649358B"/>
    <w:rsid w:val="46515AA5"/>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380C21"/>
    <w:rsid w:val="48485CA4"/>
    <w:rsid w:val="48494086"/>
    <w:rsid w:val="486A5138"/>
    <w:rsid w:val="487D7DB0"/>
    <w:rsid w:val="488446F4"/>
    <w:rsid w:val="489F75DC"/>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89163D"/>
    <w:rsid w:val="498B10A7"/>
    <w:rsid w:val="499E50E3"/>
    <w:rsid w:val="49B012B1"/>
    <w:rsid w:val="49B07827"/>
    <w:rsid w:val="49BB710C"/>
    <w:rsid w:val="49DF6D6C"/>
    <w:rsid w:val="49F637B7"/>
    <w:rsid w:val="49F67C16"/>
    <w:rsid w:val="49FC716F"/>
    <w:rsid w:val="4A06684A"/>
    <w:rsid w:val="4A090DAB"/>
    <w:rsid w:val="4A1017C2"/>
    <w:rsid w:val="4A1739DD"/>
    <w:rsid w:val="4A1B6B68"/>
    <w:rsid w:val="4A405879"/>
    <w:rsid w:val="4A5B3C33"/>
    <w:rsid w:val="4A7C0149"/>
    <w:rsid w:val="4A8D14A0"/>
    <w:rsid w:val="4A9F68B8"/>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C35B8D"/>
    <w:rsid w:val="4BC64B57"/>
    <w:rsid w:val="4BC67D49"/>
    <w:rsid w:val="4BE14196"/>
    <w:rsid w:val="4BEF414E"/>
    <w:rsid w:val="4BF40A00"/>
    <w:rsid w:val="4BF80572"/>
    <w:rsid w:val="4C131F32"/>
    <w:rsid w:val="4C556122"/>
    <w:rsid w:val="4C700E55"/>
    <w:rsid w:val="4C702F3D"/>
    <w:rsid w:val="4C704D61"/>
    <w:rsid w:val="4C72473F"/>
    <w:rsid w:val="4C8259A6"/>
    <w:rsid w:val="4C9F6050"/>
    <w:rsid w:val="4CC02A2F"/>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30B86"/>
    <w:rsid w:val="4E9753E4"/>
    <w:rsid w:val="4EA4128C"/>
    <w:rsid w:val="4EDA649F"/>
    <w:rsid w:val="4EFB36DD"/>
    <w:rsid w:val="4F28113A"/>
    <w:rsid w:val="4F2B54BB"/>
    <w:rsid w:val="4F2E2029"/>
    <w:rsid w:val="4F987B5E"/>
    <w:rsid w:val="4F9B434C"/>
    <w:rsid w:val="4FA72FE2"/>
    <w:rsid w:val="4FA81A2B"/>
    <w:rsid w:val="4FC75A15"/>
    <w:rsid w:val="4FE20AD9"/>
    <w:rsid w:val="4FE85EC3"/>
    <w:rsid w:val="4FF45D65"/>
    <w:rsid w:val="500247B5"/>
    <w:rsid w:val="500B491A"/>
    <w:rsid w:val="5013607B"/>
    <w:rsid w:val="50146B90"/>
    <w:rsid w:val="501729A9"/>
    <w:rsid w:val="50366194"/>
    <w:rsid w:val="504E0DBE"/>
    <w:rsid w:val="507038BF"/>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EB23A8"/>
    <w:rsid w:val="51FB19F9"/>
    <w:rsid w:val="521D7C6C"/>
    <w:rsid w:val="52203BF1"/>
    <w:rsid w:val="523D4E7F"/>
    <w:rsid w:val="524D7C63"/>
    <w:rsid w:val="52570A86"/>
    <w:rsid w:val="525972F1"/>
    <w:rsid w:val="52741F6F"/>
    <w:rsid w:val="52793C94"/>
    <w:rsid w:val="52923C93"/>
    <w:rsid w:val="52C70C89"/>
    <w:rsid w:val="52D90DAD"/>
    <w:rsid w:val="52E60E0C"/>
    <w:rsid w:val="52EE2E05"/>
    <w:rsid w:val="52F362F6"/>
    <w:rsid w:val="52F945DD"/>
    <w:rsid w:val="52FA3B08"/>
    <w:rsid w:val="53092B97"/>
    <w:rsid w:val="53391182"/>
    <w:rsid w:val="533A67F8"/>
    <w:rsid w:val="53470A36"/>
    <w:rsid w:val="534724FB"/>
    <w:rsid w:val="534D6038"/>
    <w:rsid w:val="535060B0"/>
    <w:rsid w:val="535A7A5C"/>
    <w:rsid w:val="536D605F"/>
    <w:rsid w:val="53952A7D"/>
    <w:rsid w:val="539B6591"/>
    <w:rsid w:val="53BD69DB"/>
    <w:rsid w:val="53C01BBF"/>
    <w:rsid w:val="540624EB"/>
    <w:rsid w:val="54265992"/>
    <w:rsid w:val="544160D9"/>
    <w:rsid w:val="5444424B"/>
    <w:rsid w:val="545451D4"/>
    <w:rsid w:val="54565B4D"/>
    <w:rsid w:val="545E3556"/>
    <w:rsid w:val="546E12F2"/>
    <w:rsid w:val="54726CA4"/>
    <w:rsid w:val="54875A6C"/>
    <w:rsid w:val="54891880"/>
    <w:rsid w:val="5491039A"/>
    <w:rsid w:val="54931A22"/>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B51867"/>
    <w:rsid w:val="55DC3F0D"/>
    <w:rsid w:val="55EB6AB2"/>
    <w:rsid w:val="55F32AB6"/>
    <w:rsid w:val="56534B1D"/>
    <w:rsid w:val="565E3E15"/>
    <w:rsid w:val="56697747"/>
    <w:rsid w:val="567953C1"/>
    <w:rsid w:val="56932404"/>
    <w:rsid w:val="56A750E5"/>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9D49AC"/>
    <w:rsid w:val="599E1CE8"/>
    <w:rsid w:val="59AD2E35"/>
    <w:rsid w:val="59BE1903"/>
    <w:rsid w:val="59C97E0F"/>
    <w:rsid w:val="59D462B0"/>
    <w:rsid w:val="59D50207"/>
    <w:rsid w:val="59DC2105"/>
    <w:rsid w:val="59E2125F"/>
    <w:rsid w:val="59E440AD"/>
    <w:rsid w:val="59FE22E0"/>
    <w:rsid w:val="5A0C72E3"/>
    <w:rsid w:val="5A173ACD"/>
    <w:rsid w:val="5A3C6BD7"/>
    <w:rsid w:val="5A4351E2"/>
    <w:rsid w:val="5A44795A"/>
    <w:rsid w:val="5A51784B"/>
    <w:rsid w:val="5A7C6202"/>
    <w:rsid w:val="5A7F4810"/>
    <w:rsid w:val="5AB12276"/>
    <w:rsid w:val="5ACA11AF"/>
    <w:rsid w:val="5AFD4951"/>
    <w:rsid w:val="5B116A98"/>
    <w:rsid w:val="5B1A3213"/>
    <w:rsid w:val="5B2E34D2"/>
    <w:rsid w:val="5B3920FD"/>
    <w:rsid w:val="5B3B1DC7"/>
    <w:rsid w:val="5B431F33"/>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F7856"/>
    <w:rsid w:val="5C3B2EB2"/>
    <w:rsid w:val="5C415F9E"/>
    <w:rsid w:val="5C6112EC"/>
    <w:rsid w:val="5C757E46"/>
    <w:rsid w:val="5C7C06D5"/>
    <w:rsid w:val="5C80066B"/>
    <w:rsid w:val="5C800CF7"/>
    <w:rsid w:val="5C8A20E5"/>
    <w:rsid w:val="5CA12E8B"/>
    <w:rsid w:val="5CA143D7"/>
    <w:rsid w:val="5CF97677"/>
    <w:rsid w:val="5D051CBD"/>
    <w:rsid w:val="5D0A3D79"/>
    <w:rsid w:val="5D2E758F"/>
    <w:rsid w:val="5D5063E2"/>
    <w:rsid w:val="5D5125CD"/>
    <w:rsid w:val="5D697400"/>
    <w:rsid w:val="5DAC1C5C"/>
    <w:rsid w:val="5DAE5F11"/>
    <w:rsid w:val="5DBE2CF1"/>
    <w:rsid w:val="5DC601C7"/>
    <w:rsid w:val="5DCD3EC1"/>
    <w:rsid w:val="5DF628A5"/>
    <w:rsid w:val="5DFB3E25"/>
    <w:rsid w:val="5E0E6986"/>
    <w:rsid w:val="5E402C72"/>
    <w:rsid w:val="5E481EB2"/>
    <w:rsid w:val="5E49017C"/>
    <w:rsid w:val="5E6F5891"/>
    <w:rsid w:val="5E732ABF"/>
    <w:rsid w:val="5E824AD5"/>
    <w:rsid w:val="5E9D03A7"/>
    <w:rsid w:val="5EA555AB"/>
    <w:rsid w:val="5EA90940"/>
    <w:rsid w:val="5EA91F20"/>
    <w:rsid w:val="5EAD0F8A"/>
    <w:rsid w:val="5EB8440B"/>
    <w:rsid w:val="5EC258D6"/>
    <w:rsid w:val="5EC32AD2"/>
    <w:rsid w:val="5ED23F65"/>
    <w:rsid w:val="5ED319A6"/>
    <w:rsid w:val="5F046EB3"/>
    <w:rsid w:val="5F0829B5"/>
    <w:rsid w:val="5F3D7DBA"/>
    <w:rsid w:val="5F4155AB"/>
    <w:rsid w:val="5F5875BF"/>
    <w:rsid w:val="5F8157A5"/>
    <w:rsid w:val="5F86463C"/>
    <w:rsid w:val="5F8741FC"/>
    <w:rsid w:val="5FA52847"/>
    <w:rsid w:val="5FA80406"/>
    <w:rsid w:val="5FAA51CC"/>
    <w:rsid w:val="5FAB2F3C"/>
    <w:rsid w:val="5FEF6151"/>
    <w:rsid w:val="60197A9C"/>
    <w:rsid w:val="601C793B"/>
    <w:rsid w:val="60396FA4"/>
    <w:rsid w:val="604337F4"/>
    <w:rsid w:val="60480F5D"/>
    <w:rsid w:val="604A7F97"/>
    <w:rsid w:val="60517B22"/>
    <w:rsid w:val="607C4118"/>
    <w:rsid w:val="607E6FA2"/>
    <w:rsid w:val="60D1045E"/>
    <w:rsid w:val="60D86564"/>
    <w:rsid w:val="60DC1B66"/>
    <w:rsid w:val="60FE4C3A"/>
    <w:rsid w:val="611066E4"/>
    <w:rsid w:val="6145260D"/>
    <w:rsid w:val="614F2C00"/>
    <w:rsid w:val="616F52A5"/>
    <w:rsid w:val="61732774"/>
    <w:rsid w:val="618467AD"/>
    <w:rsid w:val="618A6E1D"/>
    <w:rsid w:val="619B73AA"/>
    <w:rsid w:val="61AC41C4"/>
    <w:rsid w:val="61AE6C5C"/>
    <w:rsid w:val="61B72D3B"/>
    <w:rsid w:val="61B970B8"/>
    <w:rsid w:val="61C23A30"/>
    <w:rsid w:val="61DD02F6"/>
    <w:rsid w:val="61F1283A"/>
    <w:rsid w:val="62292D55"/>
    <w:rsid w:val="622E2529"/>
    <w:rsid w:val="62372587"/>
    <w:rsid w:val="623C50E2"/>
    <w:rsid w:val="623D2383"/>
    <w:rsid w:val="62476AFA"/>
    <w:rsid w:val="6248317C"/>
    <w:rsid w:val="625C7CF9"/>
    <w:rsid w:val="62625189"/>
    <w:rsid w:val="6265616C"/>
    <w:rsid w:val="626D49DD"/>
    <w:rsid w:val="62827A5B"/>
    <w:rsid w:val="628E40E9"/>
    <w:rsid w:val="62C47755"/>
    <w:rsid w:val="62DA25F6"/>
    <w:rsid w:val="62DA56D3"/>
    <w:rsid w:val="62DF197E"/>
    <w:rsid w:val="62E91AA1"/>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B7063A"/>
    <w:rsid w:val="64CC2EAB"/>
    <w:rsid w:val="64D0202C"/>
    <w:rsid w:val="64EE4E27"/>
    <w:rsid w:val="651E07A2"/>
    <w:rsid w:val="65225687"/>
    <w:rsid w:val="654027E1"/>
    <w:rsid w:val="6576197F"/>
    <w:rsid w:val="65773375"/>
    <w:rsid w:val="658A3AA0"/>
    <w:rsid w:val="659C0F72"/>
    <w:rsid w:val="65A07C3D"/>
    <w:rsid w:val="65BE662A"/>
    <w:rsid w:val="65D24B28"/>
    <w:rsid w:val="65E62724"/>
    <w:rsid w:val="65F25FE1"/>
    <w:rsid w:val="65F6746E"/>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83B1D8F"/>
    <w:rsid w:val="68463B1A"/>
    <w:rsid w:val="686C739B"/>
    <w:rsid w:val="688773EB"/>
    <w:rsid w:val="68976F60"/>
    <w:rsid w:val="68AB4937"/>
    <w:rsid w:val="68BC5016"/>
    <w:rsid w:val="68C16BF8"/>
    <w:rsid w:val="68CB4191"/>
    <w:rsid w:val="68E049F8"/>
    <w:rsid w:val="68E62E59"/>
    <w:rsid w:val="68F17C0F"/>
    <w:rsid w:val="690159E0"/>
    <w:rsid w:val="691A482D"/>
    <w:rsid w:val="691E52F7"/>
    <w:rsid w:val="692375A2"/>
    <w:rsid w:val="692D0456"/>
    <w:rsid w:val="69332109"/>
    <w:rsid w:val="69333F19"/>
    <w:rsid w:val="693636E9"/>
    <w:rsid w:val="69567FE6"/>
    <w:rsid w:val="695D755A"/>
    <w:rsid w:val="69900D4F"/>
    <w:rsid w:val="69A511C0"/>
    <w:rsid w:val="69B459A6"/>
    <w:rsid w:val="69C026FF"/>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CDF2F9A"/>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E951BE"/>
    <w:rsid w:val="6DF110EB"/>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B3AC1"/>
    <w:rsid w:val="6F0C5484"/>
    <w:rsid w:val="6F3F31B5"/>
    <w:rsid w:val="6F424394"/>
    <w:rsid w:val="6F50541F"/>
    <w:rsid w:val="6F574468"/>
    <w:rsid w:val="6F58209D"/>
    <w:rsid w:val="6F602D52"/>
    <w:rsid w:val="6F692BDD"/>
    <w:rsid w:val="6F717BF2"/>
    <w:rsid w:val="6F7236A3"/>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F5848"/>
    <w:rsid w:val="76017ECB"/>
    <w:rsid w:val="761A4D64"/>
    <w:rsid w:val="761A7767"/>
    <w:rsid w:val="76227953"/>
    <w:rsid w:val="76242496"/>
    <w:rsid w:val="762A1040"/>
    <w:rsid w:val="763130A4"/>
    <w:rsid w:val="76334A4F"/>
    <w:rsid w:val="76517C8F"/>
    <w:rsid w:val="769B0B84"/>
    <w:rsid w:val="76A9357F"/>
    <w:rsid w:val="76C7778F"/>
    <w:rsid w:val="76CD39A6"/>
    <w:rsid w:val="76E546FA"/>
    <w:rsid w:val="76F16911"/>
    <w:rsid w:val="76F438CA"/>
    <w:rsid w:val="770804E1"/>
    <w:rsid w:val="77091A0F"/>
    <w:rsid w:val="77143997"/>
    <w:rsid w:val="772C256C"/>
    <w:rsid w:val="77523E44"/>
    <w:rsid w:val="77605586"/>
    <w:rsid w:val="776A33AE"/>
    <w:rsid w:val="7786058D"/>
    <w:rsid w:val="77D60F1E"/>
    <w:rsid w:val="77F641B0"/>
    <w:rsid w:val="77F83BF0"/>
    <w:rsid w:val="77FF037E"/>
    <w:rsid w:val="780823A1"/>
    <w:rsid w:val="780E60BC"/>
    <w:rsid w:val="781C36A1"/>
    <w:rsid w:val="78294803"/>
    <w:rsid w:val="783B39D3"/>
    <w:rsid w:val="78446EB6"/>
    <w:rsid w:val="785666F2"/>
    <w:rsid w:val="78660A33"/>
    <w:rsid w:val="78B25ED3"/>
    <w:rsid w:val="78C622A4"/>
    <w:rsid w:val="78CA4C55"/>
    <w:rsid w:val="78CA5330"/>
    <w:rsid w:val="78D769AB"/>
    <w:rsid w:val="78E701E5"/>
    <w:rsid w:val="79050363"/>
    <w:rsid w:val="791771FB"/>
    <w:rsid w:val="791906E7"/>
    <w:rsid w:val="79384A73"/>
    <w:rsid w:val="79395622"/>
    <w:rsid w:val="79421EF2"/>
    <w:rsid w:val="79444EBD"/>
    <w:rsid w:val="79617738"/>
    <w:rsid w:val="796A54C8"/>
    <w:rsid w:val="797E298A"/>
    <w:rsid w:val="79821647"/>
    <w:rsid w:val="799D1B18"/>
    <w:rsid w:val="79A232E1"/>
    <w:rsid w:val="79A50B3B"/>
    <w:rsid w:val="79B4260C"/>
    <w:rsid w:val="79BF62FA"/>
    <w:rsid w:val="79D919FD"/>
    <w:rsid w:val="7A10318F"/>
    <w:rsid w:val="7A194028"/>
    <w:rsid w:val="7A281C67"/>
    <w:rsid w:val="7A3B4525"/>
    <w:rsid w:val="7A74229C"/>
    <w:rsid w:val="7A8A28AD"/>
    <w:rsid w:val="7A9030F5"/>
    <w:rsid w:val="7A9813E6"/>
    <w:rsid w:val="7AA96D0F"/>
    <w:rsid w:val="7AB6383B"/>
    <w:rsid w:val="7AC1129C"/>
    <w:rsid w:val="7ADC75FE"/>
    <w:rsid w:val="7ADF1B39"/>
    <w:rsid w:val="7AE572C3"/>
    <w:rsid w:val="7AEA4374"/>
    <w:rsid w:val="7B056156"/>
    <w:rsid w:val="7B112253"/>
    <w:rsid w:val="7B1573B0"/>
    <w:rsid w:val="7B1A52EC"/>
    <w:rsid w:val="7B1C1FBD"/>
    <w:rsid w:val="7B510AF2"/>
    <w:rsid w:val="7B743BF6"/>
    <w:rsid w:val="7B7932C7"/>
    <w:rsid w:val="7B9066AC"/>
    <w:rsid w:val="7BA90681"/>
    <w:rsid w:val="7BAA2985"/>
    <w:rsid w:val="7BAE4F01"/>
    <w:rsid w:val="7BBB2A3B"/>
    <w:rsid w:val="7BC57F7A"/>
    <w:rsid w:val="7C05278C"/>
    <w:rsid w:val="7C0D793C"/>
    <w:rsid w:val="7C1472EA"/>
    <w:rsid w:val="7C18770B"/>
    <w:rsid w:val="7C1D68C4"/>
    <w:rsid w:val="7C240EC4"/>
    <w:rsid w:val="7C2B0219"/>
    <w:rsid w:val="7C303FB2"/>
    <w:rsid w:val="7C3C23BB"/>
    <w:rsid w:val="7C3C31CE"/>
    <w:rsid w:val="7C4A046B"/>
    <w:rsid w:val="7C5024D4"/>
    <w:rsid w:val="7C6765CB"/>
    <w:rsid w:val="7C6F29EE"/>
    <w:rsid w:val="7C717887"/>
    <w:rsid w:val="7C951A82"/>
    <w:rsid w:val="7C96733C"/>
    <w:rsid w:val="7C9E7B00"/>
    <w:rsid w:val="7CA47E6F"/>
    <w:rsid w:val="7CAD2236"/>
    <w:rsid w:val="7CC65696"/>
    <w:rsid w:val="7CF514B1"/>
    <w:rsid w:val="7D1D6107"/>
    <w:rsid w:val="7D231BE4"/>
    <w:rsid w:val="7D2D5C3F"/>
    <w:rsid w:val="7D326DF2"/>
    <w:rsid w:val="7D366659"/>
    <w:rsid w:val="7D6851E2"/>
    <w:rsid w:val="7D724997"/>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B57AB0"/>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Yu Mincho"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6CDE"/>
    <w:pPr>
      <w:overflowPunct w:val="0"/>
      <w:autoSpaceDE w:val="0"/>
      <w:autoSpaceDN w:val="0"/>
      <w:adjustRightInd w:val="0"/>
      <w:spacing w:after="120"/>
      <w:jc w:val="both"/>
      <w:textAlignment w:val="baseline"/>
    </w:pPr>
    <w:rPr>
      <w:rFonts w:eastAsia="SimSun"/>
      <w:lang w:val="en-GB" w:eastAsia="en-US"/>
    </w:rPr>
  </w:style>
  <w:style w:type="paragraph" w:styleId="Heading1">
    <w:name w:val="heading 1"/>
    <w:basedOn w:val="Normal"/>
    <w:next w:val="YJ--"/>
    <w:link w:val="Heading1Char"/>
    <w:qFormat/>
    <w:rsid w:val="006F6CDE"/>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rsid w:val="006F6CDE"/>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6F6CDE"/>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rsid w:val="006F6CDE"/>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rsid w:val="006F6CDE"/>
    <w:pPr>
      <w:numPr>
        <w:ilvl w:val="4"/>
      </w:numPr>
      <w:outlineLvl w:val="4"/>
    </w:pPr>
    <w:rPr>
      <w:i/>
      <w:iCs/>
      <w:sz w:val="26"/>
      <w:szCs w:val="26"/>
    </w:rPr>
  </w:style>
  <w:style w:type="paragraph" w:styleId="Heading6">
    <w:name w:val="heading 6"/>
    <w:basedOn w:val="Normal"/>
    <w:next w:val="Normal"/>
    <w:qFormat/>
    <w:rsid w:val="006F6CDE"/>
    <w:pPr>
      <w:numPr>
        <w:ilvl w:val="5"/>
        <w:numId w:val="1"/>
      </w:numPr>
      <w:spacing w:before="240" w:after="60"/>
      <w:outlineLvl w:val="5"/>
    </w:pPr>
    <w:rPr>
      <w:b/>
      <w:bCs/>
      <w:sz w:val="22"/>
      <w:szCs w:val="22"/>
    </w:rPr>
  </w:style>
  <w:style w:type="paragraph" w:styleId="Heading7">
    <w:name w:val="heading 7"/>
    <w:basedOn w:val="Normal"/>
    <w:next w:val="Normal"/>
    <w:qFormat/>
    <w:rsid w:val="006F6CDE"/>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6F6CDE"/>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
    <w:link w:val="Heading9Char"/>
    <w:qFormat/>
    <w:rsid w:val="006F6CDE"/>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6F6CDE"/>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6F6CDE"/>
    <w:pPr>
      <w:ind w:firstLineChars="200" w:firstLine="420"/>
    </w:pPr>
  </w:style>
  <w:style w:type="paragraph" w:styleId="CommentSubject">
    <w:name w:val="annotation subject"/>
    <w:basedOn w:val="CommentText"/>
    <w:next w:val="CommentText"/>
    <w:link w:val="CommentSubjectChar"/>
    <w:uiPriority w:val="99"/>
    <w:unhideWhenUsed/>
    <w:qFormat/>
    <w:rsid w:val="006F6CDE"/>
    <w:rPr>
      <w:b/>
      <w:bCs/>
    </w:rPr>
  </w:style>
  <w:style w:type="paragraph" w:styleId="CommentText">
    <w:name w:val="annotation text"/>
    <w:basedOn w:val="Normal"/>
    <w:link w:val="CommentTextChar"/>
    <w:uiPriority w:val="99"/>
    <w:unhideWhenUsed/>
    <w:qFormat/>
    <w:rsid w:val="006F6CDE"/>
    <w:rPr>
      <w:rFonts w:eastAsia="Times New Roman"/>
    </w:rPr>
  </w:style>
  <w:style w:type="paragraph" w:styleId="Caption">
    <w:name w:val="caption"/>
    <w:basedOn w:val="Normal"/>
    <w:next w:val="Normal"/>
    <w:link w:val="CaptionChar"/>
    <w:qFormat/>
    <w:rsid w:val="006F6CDE"/>
    <w:rPr>
      <w:b/>
      <w:bCs/>
    </w:rPr>
  </w:style>
  <w:style w:type="paragraph" w:styleId="DocumentMap">
    <w:name w:val="Document Map"/>
    <w:basedOn w:val="Normal"/>
    <w:semiHidden/>
    <w:qFormat/>
    <w:rsid w:val="006F6CDE"/>
    <w:pPr>
      <w:shd w:val="clear" w:color="auto" w:fill="000080"/>
    </w:pPr>
    <w:rPr>
      <w:rFonts w:ascii="Tahoma" w:hAnsi="Tahoma" w:cs="Tahoma"/>
    </w:rPr>
  </w:style>
  <w:style w:type="paragraph" w:styleId="BodyText">
    <w:name w:val="Body Text"/>
    <w:basedOn w:val="Normal"/>
    <w:link w:val="BodyTextChar"/>
    <w:qFormat/>
    <w:rsid w:val="006F6CDE"/>
    <w:pPr>
      <w:overflowPunct/>
      <w:autoSpaceDE/>
      <w:autoSpaceDN/>
      <w:adjustRightInd/>
      <w:textAlignment w:val="auto"/>
    </w:pPr>
    <w:rPr>
      <w:rFonts w:eastAsia="MS Mincho"/>
      <w:sz w:val="22"/>
    </w:rPr>
  </w:style>
  <w:style w:type="paragraph" w:styleId="BodyTextIndent">
    <w:name w:val="Body Text Indent"/>
    <w:basedOn w:val="Normal"/>
    <w:qFormat/>
    <w:rsid w:val="006F6CDE"/>
    <w:pPr>
      <w:ind w:left="283"/>
    </w:pPr>
  </w:style>
  <w:style w:type="paragraph" w:styleId="List2">
    <w:name w:val="List 2"/>
    <w:basedOn w:val="List"/>
    <w:qFormat/>
    <w:rsid w:val="006F6CDE"/>
    <w:pPr>
      <w:ind w:left="851"/>
    </w:pPr>
  </w:style>
  <w:style w:type="paragraph" w:styleId="List">
    <w:name w:val="List"/>
    <w:basedOn w:val="Normal"/>
    <w:qFormat/>
    <w:rsid w:val="006F6CDE"/>
    <w:pPr>
      <w:ind w:left="283" w:hanging="283"/>
    </w:pPr>
  </w:style>
  <w:style w:type="paragraph" w:styleId="BalloonText">
    <w:name w:val="Balloon Text"/>
    <w:basedOn w:val="Normal"/>
    <w:link w:val="BalloonTextChar"/>
    <w:uiPriority w:val="99"/>
    <w:unhideWhenUsed/>
    <w:qFormat/>
    <w:rsid w:val="006F6CDE"/>
    <w:pPr>
      <w:spacing w:after="0"/>
    </w:pPr>
    <w:rPr>
      <w:rFonts w:ascii="Tahoma" w:eastAsia="Times New Roman" w:hAnsi="Tahoma"/>
      <w:sz w:val="16"/>
      <w:szCs w:val="16"/>
    </w:rPr>
  </w:style>
  <w:style w:type="paragraph" w:styleId="Footer">
    <w:name w:val="footer"/>
    <w:basedOn w:val="Normal"/>
    <w:link w:val="FooterChar"/>
    <w:uiPriority w:val="99"/>
    <w:unhideWhenUsed/>
    <w:qFormat/>
    <w:rsid w:val="006F6CDE"/>
    <w:pPr>
      <w:tabs>
        <w:tab w:val="center" w:pos="4513"/>
        <w:tab w:val="right" w:pos="9026"/>
      </w:tabs>
      <w:snapToGrid w:val="0"/>
    </w:pPr>
    <w:rPr>
      <w:rFonts w:eastAsia="Times New Roman"/>
    </w:rPr>
  </w:style>
  <w:style w:type="paragraph" w:styleId="Header">
    <w:name w:val="header"/>
    <w:basedOn w:val="Normal"/>
    <w:link w:val="HeaderChar"/>
    <w:qFormat/>
    <w:rsid w:val="006F6CDE"/>
    <w:pPr>
      <w:widowControl w:val="0"/>
      <w:spacing w:after="160"/>
    </w:pPr>
    <w:rPr>
      <w:rFonts w:ascii="Arial" w:hAnsi="Arial"/>
      <w:b/>
      <w:sz w:val="18"/>
      <w:lang w:val="en-US"/>
    </w:rPr>
  </w:style>
  <w:style w:type="paragraph" w:styleId="TOC1">
    <w:name w:val="toc 1"/>
    <w:next w:val="Normal"/>
    <w:uiPriority w:val="39"/>
    <w:qFormat/>
    <w:rsid w:val="006F6CDE"/>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rPr>
  </w:style>
  <w:style w:type="paragraph" w:styleId="FootnoteText">
    <w:name w:val="footnote text"/>
    <w:basedOn w:val="Normal"/>
    <w:link w:val="FootnoteTextChar"/>
    <w:uiPriority w:val="99"/>
    <w:unhideWhenUsed/>
    <w:qFormat/>
    <w:rsid w:val="006F6CDE"/>
    <w:pPr>
      <w:snapToGrid w:val="0"/>
      <w:jc w:val="left"/>
    </w:pPr>
    <w:rPr>
      <w:rFonts w:eastAsia="Times New Roman"/>
      <w:sz w:val="18"/>
      <w:szCs w:val="18"/>
    </w:rPr>
  </w:style>
  <w:style w:type="paragraph" w:styleId="NormalWeb">
    <w:name w:val="Normal (Web)"/>
    <w:basedOn w:val="Normal"/>
    <w:uiPriority w:val="99"/>
    <w:qFormat/>
    <w:rsid w:val="006F6CDE"/>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6F6CDE"/>
    <w:rPr>
      <w:b/>
    </w:rPr>
  </w:style>
  <w:style w:type="character" w:styleId="PageNumber">
    <w:name w:val="page number"/>
    <w:basedOn w:val="DefaultParagraphFont"/>
    <w:uiPriority w:val="99"/>
    <w:unhideWhenUsed/>
    <w:qFormat/>
    <w:rsid w:val="006F6CDE"/>
  </w:style>
  <w:style w:type="character" w:styleId="FollowedHyperlink">
    <w:name w:val="FollowedHyperlink"/>
    <w:qFormat/>
    <w:rsid w:val="006F6CDE"/>
    <w:rPr>
      <w:color w:val="800080"/>
      <w:u w:val="single"/>
    </w:rPr>
  </w:style>
  <w:style w:type="character" w:styleId="Hyperlink">
    <w:name w:val="Hyperlink"/>
    <w:uiPriority w:val="99"/>
    <w:unhideWhenUsed/>
    <w:qFormat/>
    <w:rsid w:val="006F6CDE"/>
    <w:rPr>
      <w:color w:val="0000FF"/>
      <w:u w:val="single"/>
    </w:rPr>
  </w:style>
  <w:style w:type="character" w:styleId="CommentReference">
    <w:name w:val="annotation reference"/>
    <w:unhideWhenUsed/>
    <w:qFormat/>
    <w:rsid w:val="006F6CDE"/>
    <w:rPr>
      <w:sz w:val="16"/>
      <w:szCs w:val="16"/>
    </w:rPr>
  </w:style>
  <w:style w:type="character" w:styleId="FootnoteReference">
    <w:name w:val="footnote reference"/>
    <w:semiHidden/>
    <w:qFormat/>
    <w:rsid w:val="006F6CDE"/>
    <w:rPr>
      <w:rFonts w:eastAsia="Times New Roman"/>
      <w:b/>
      <w:kern w:val="2"/>
      <w:position w:val="6"/>
      <w:sz w:val="16"/>
      <w:lang w:val="en-GB"/>
    </w:rPr>
  </w:style>
  <w:style w:type="table" w:styleId="TableGrid">
    <w:name w:val="Table Grid"/>
    <w:basedOn w:val="TableNormal"/>
    <w:uiPriority w:val="59"/>
    <w:qFormat/>
    <w:rsid w:val="006F6CD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6F6CDE"/>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6F6CDE"/>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6F6CDE"/>
    <w:rPr>
      <w:color w:val="808080"/>
    </w:rPr>
  </w:style>
  <w:style w:type="character" w:customStyle="1" w:styleId="B2Char1">
    <w:name w:val="B2 Char1"/>
    <w:link w:val="B2"/>
    <w:qFormat/>
    <w:rsid w:val="006F6CDE"/>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6F6CDE"/>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6F6CDE"/>
    <w:rPr>
      <w:rFonts w:ascii="Times New Roman" w:eastAsia="MS Mincho" w:hAnsi="Times New Roman"/>
      <w:sz w:val="22"/>
      <w:lang w:val="en-GB" w:eastAsia="en-US"/>
    </w:rPr>
  </w:style>
  <w:style w:type="character" w:customStyle="1" w:styleId="Heading1Char">
    <w:name w:val="Heading 1 Char"/>
    <w:link w:val="Heading1"/>
    <w:qFormat/>
    <w:rsid w:val="006F6CDE"/>
    <w:rPr>
      <w:rFonts w:ascii="Arial" w:eastAsia="Times New Roman" w:hAnsi="Arial"/>
      <w:sz w:val="36"/>
      <w:lang w:val="en-GB" w:eastAsia="en-US" w:bidi="ar-SA"/>
    </w:rPr>
  </w:style>
  <w:style w:type="character" w:customStyle="1" w:styleId="FooterChar">
    <w:name w:val="Footer Char"/>
    <w:link w:val="Footer"/>
    <w:uiPriority w:val="99"/>
    <w:qFormat/>
    <w:rsid w:val="006F6CDE"/>
    <w:rPr>
      <w:rFonts w:ascii="Times New Roman" w:eastAsia="Times New Roman" w:hAnsi="Times New Roman"/>
      <w:lang w:val="en-GB" w:eastAsia="en-US"/>
    </w:rPr>
  </w:style>
  <w:style w:type="character" w:customStyle="1" w:styleId="CommentTextChar">
    <w:name w:val="Comment Text Char"/>
    <w:link w:val="CommentText"/>
    <w:uiPriority w:val="99"/>
    <w:qFormat/>
    <w:rsid w:val="006F6CDE"/>
    <w:rPr>
      <w:rFonts w:ascii="Times New Roman" w:eastAsia="Times New Roman" w:hAnsi="Times New Roman" w:cs="Times New Roman"/>
      <w:sz w:val="20"/>
      <w:szCs w:val="20"/>
      <w:lang w:val="en-GB"/>
    </w:rPr>
  </w:style>
  <w:style w:type="character" w:customStyle="1" w:styleId="HeaderChar">
    <w:name w:val="Header Char"/>
    <w:link w:val="Header"/>
    <w:qFormat/>
    <w:rsid w:val="006F6CDE"/>
    <w:rPr>
      <w:rFonts w:ascii="Arial" w:hAnsi="Arial"/>
      <w:b/>
      <w:sz w:val="18"/>
      <w:lang w:val="en-US" w:eastAsia="en-US" w:bidi="ar-SA"/>
    </w:rPr>
  </w:style>
  <w:style w:type="character" w:customStyle="1" w:styleId="PLChar">
    <w:name w:val="PL Char"/>
    <w:link w:val="PL"/>
    <w:qFormat/>
    <w:rsid w:val="006F6CDE"/>
    <w:rPr>
      <w:rFonts w:ascii="Courier New" w:hAnsi="Courier New"/>
      <w:sz w:val="16"/>
      <w:lang w:val="en-GB" w:eastAsia="ja-JP" w:bidi="ar-SA"/>
    </w:rPr>
  </w:style>
  <w:style w:type="paragraph" w:customStyle="1" w:styleId="PL">
    <w:name w:val="PL"/>
    <w:link w:val="PLChar"/>
    <w:qFormat/>
    <w:rsid w:val="006F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msoins0">
    <w:name w:val="msoins"/>
    <w:basedOn w:val="DefaultParagraphFont"/>
    <w:qFormat/>
    <w:rsid w:val="006F6CDE"/>
  </w:style>
  <w:style w:type="character" w:customStyle="1" w:styleId="THChar">
    <w:name w:val="TH Char"/>
    <w:link w:val="TH"/>
    <w:qFormat/>
    <w:rsid w:val="006F6CDE"/>
    <w:rPr>
      <w:rFonts w:ascii="Arial" w:eastAsia="Times New Roman" w:hAnsi="Arial"/>
      <w:b/>
      <w:lang w:val="en-GB" w:eastAsia="en-GB"/>
    </w:rPr>
  </w:style>
  <w:style w:type="paragraph" w:customStyle="1" w:styleId="TH">
    <w:name w:val="TH"/>
    <w:basedOn w:val="Normal"/>
    <w:link w:val="THChar"/>
    <w:qFormat/>
    <w:rsid w:val="006F6CDE"/>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6F6CDE"/>
    <w:rPr>
      <w:rFonts w:ascii="Times New Roman" w:eastAsia="Times New Roman" w:hAnsi="Times New Roman"/>
      <w:b/>
      <w:bCs/>
      <w:sz w:val="28"/>
      <w:szCs w:val="28"/>
      <w:lang w:val="en-GB" w:eastAsia="en-US"/>
    </w:rPr>
  </w:style>
  <w:style w:type="character" w:customStyle="1" w:styleId="TAHChar">
    <w:name w:val="TAH Char"/>
    <w:link w:val="TAH"/>
    <w:qFormat/>
    <w:rsid w:val="006F6CDE"/>
    <w:rPr>
      <w:rFonts w:ascii="Arial" w:hAnsi="Arial"/>
      <w:b/>
      <w:sz w:val="18"/>
      <w:lang w:val="en-GB" w:eastAsia="ja-JP" w:bidi="ar-SA"/>
    </w:rPr>
  </w:style>
  <w:style w:type="paragraph" w:customStyle="1" w:styleId="TAH">
    <w:name w:val="TAH"/>
    <w:basedOn w:val="TAC"/>
    <w:link w:val="TAHChar"/>
    <w:qFormat/>
    <w:rsid w:val="006F6CDE"/>
    <w:rPr>
      <w:rFonts w:eastAsia="SimSun"/>
      <w:b/>
    </w:rPr>
  </w:style>
  <w:style w:type="paragraph" w:customStyle="1" w:styleId="TAC">
    <w:name w:val="TAC"/>
    <w:basedOn w:val="TAL"/>
    <w:link w:val="TACChar"/>
    <w:qFormat/>
    <w:rsid w:val="006F6CDE"/>
    <w:pPr>
      <w:jc w:val="center"/>
    </w:pPr>
    <w:rPr>
      <w:rFonts w:eastAsia="Times New Roman"/>
    </w:rPr>
  </w:style>
  <w:style w:type="paragraph" w:customStyle="1" w:styleId="TAL">
    <w:name w:val="TAL"/>
    <w:basedOn w:val="Normal"/>
    <w:link w:val="TALChar"/>
    <w:qFormat/>
    <w:rsid w:val="006F6CDE"/>
    <w:pPr>
      <w:keepNext/>
      <w:keepLines/>
      <w:spacing w:after="0"/>
    </w:pPr>
    <w:rPr>
      <w:rFonts w:ascii="Arial" w:hAnsi="Arial"/>
      <w:sz w:val="18"/>
      <w:lang w:eastAsia="ja-JP"/>
    </w:rPr>
  </w:style>
  <w:style w:type="character" w:customStyle="1" w:styleId="TextCar">
    <w:name w:val="Text Car"/>
    <w:link w:val="Text"/>
    <w:qFormat/>
    <w:rsid w:val="006F6CDE"/>
    <w:rPr>
      <w:rFonts w:ascii="Arial" w:hAnsi="Arial"/>
      <w:lang w:val="en-US" w:eastAsia="en-US" w:bidi="ar-SA"/>
    </w:rPr>
  </w:style>
  <w:style w:type="paragraph" w:customStyle="1" w:styleId="Text">
    <w:name w:val="Text"/>
    <w:basedOn w:val="Normal"/>
    <w:link w:val="TextCar"/>
    <w:qFormat/>
    <w:rsid w:val="006F6CDE"/>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6F6CDE"/>
    <w:rPr>
      <w:rFonts w:ascii="Times New Roman" w:eastAsia="SimSun" w:hAnsi="Times New Roman"/>
    </w:rPr>
  </w:style>
  <w:style w:type="paragraph" w:customStyle="1" w:styleId="MTDisplayEquation">
    <w:name w:val="MTDisplayEquation"/>
    <w:basedOn w:val="Normal"/>
    <w:next w:val="Normal"/>
    <w:link w:val="MTDisplayEquationChar"/>
    <w:qFormat/>
    <w:rsid w:val="006F6CDE"/>
    <w:pPr>
      <w:tabs>
        <w:tab w:val="center" w:pos="4680"/>
        <w:tab w:val="right" w:pos="9360"/>
      </w:tabs>
    </w:pPr>
  </w:style>
  <w:style w:type="character" w:customStyle="1" w:styleId="ReferenceChar">
    <w:name w:val="Reference Char"/>
    <w:link w:val="Reference"/>
    <w:qFormat/>
    <w:rsid w:val="006F6CDE"/>
    <w:rPr>
      <w:rFonts w:ascii="Times New Roman" w:eastAsia="MS Mincho" w:hAnsi="Times New Roman"/>
      <w:sz w:val="22"/>
      <w:lang w:val="en-GB" w:eastAsia="en-US"/>
    </w:rPr>
  </w:style>
  <w:style w:type="paragraph" w:customStyle="1" w:styleId="Reference">
    <w:name w:val="Reference"/>
    <w:basedOn w:val="Normal"/>
    <w:link w:val="ReferenceChar"/>
    <w:qFormat/>
    <w:rsid w:val="006F6CDE"/>
    <w:pPr>
      <w:numPr>
        <w:numId w:val="2"/>
      </w:numPr>
      <w:ind w:right="-99"/>
    </w:pPr>
    <w:rPr>
      <w:rFonts w:eastAsia="MS Mincho"/>
      <w:sz w:val="22"/>
    </w:rPr>
  </w:style>
  <w:style w:type="character" w:customStyle="1" w:styleId="BalloonTextChar">
    <w:name w:val="Balloon Text Char"/>
    <w:link w:val="BalloonText"/>
    <w:uiPriority w:val="99"/>
    <w:semiHidden/>
    <w:qFormat/>
    <w:rsid w:val="006F6CDE"/>
    <w:rPr>
      <w:rFonts w:ascii="Tahoma" w:eastAsia="Times New Roman" w:hAnsi="Tahoma" w:cs="Tahoma"/>
      <w:sz w:val="16"/>
      <w:szCs w:val="16"/>
      <w:lang w:val="en-GB"/>
    </w:rPr>
  </w:style>
  <w:style w:type="character" w:customStyle="1" w:styleId="maintextChar">
    <w:name w:val="main text Char"/>
    <w:link w:val="maintext"/>
    <w:qFormat/>
    <w:rsid w:val="006F6CDE"/>
    <w:rPr>
      <w:rFonts w:ascii="Times New Roman" w:hAnsi="Times New Roman" w:cs="Batang"/>
      <w:lang w:val="en-GB" w:eastAsia="ko-KR"/>
    </w:rPr>
  </w:style>
  <w:style w:type="character" w:customStyle="1" w:styleId="headeroddChar">
    <w:name w:val="header odd Char"/>
    <w:qFormat/>
    <w:rsid w:val="006F6CDE"/>
    <w:rPr>
      <w:lang w:val="en-GB" w:eastAsia="en-US" w:bidi="ar-SA"/>
    </w:rPr>
  </w:style>
  <w:style w:type="character" w:customStyle="1" w:styleId="B1">
    <w:name w:val="B1 (文字)"/>
    <w:qFormat/>
    <w:rsid w:val="006F6CDE"/>
    <w:rPr>
      <w:rFonts w:eastAsia="Times New Roman"/>
    </w:rPr>
  </w:style>
  <w:style w:type="character" w:customStyle="1" w:styleId="CaptionChar">
    <w:name w:val="Caption Char"/>
    <w:link w:val="Caption"/>
    <w:qFormat/>
    <w:rsid w:val="006F6CDE"/>
    <w:rPr>
      <w:b/>
      <w:bCs/>
      <w:lang w:val="en-GB" w:eastAsia="en-US" w:bidi="ar-SA"/>
    </w:rPr>
  </w:style>
  <w:style w:type="character" w:customStyle="1" w:styleId="Doc-titleChar">
    <w:name w:val="Doc-title Char"/>
    <w:link w:val="Doc-title"/>
    <w:qFormat/>
    <w:rsid w:val="006F6CDE"/>
    <w:rPr>
      <w:rFonts w:ascii="Arial" w:eastAsia="MS Mincho" w:hAnsi="Arial"/>
      <w:szCs w:val="24"/>
      <w:lang w:val="en-GB" w:eastAsia="en-GB" w:bidi="ar-SA"/>
    </w:rPr>
  </w:style>
  <w:style w:type="paragraph" w:customStyle="1" w:styleId="Doc-title">
    <w:name w:val="Doc-title"/>
    <w:basedOn w:val="Normal"/>
    <w:next w:val="Doc-text2"/>
    <w:link w:val="Doc-titleChar"/>
    <w:qFormat/>
    <w:rsid w:val="006F6CDE"/>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6F6C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6F6CDE"/>
    <w:rPr>
      <w:rFonts w:ascii="Arial" w:eastAsia="SimSun" w:hAnsi="Arial"/>
      <w:kern w:val="2"/>
      <w:sz w:val="21"/>
      <w:szCs w:val="24"/>
    </w:rPr>
  </w:style>
  <w:style w:type="character" w:customStyle="1" w:styleId="apple-converted-space">
    <w:name w:val="apple-converted-space"/>
    <w:basedOn w:val="DefaultParagraphFont"/>
    <w:qFormat/>
    <w:rsid w:val="006F6CDE"/>
  </w:style>
  <w:style w:type="character" w:customStyle="1" w:styleId="Heading8Char">
    <w:name w:val="Heading 8 Char"/>
    <w:link w:val="Heading8"/>
    <w:qFormat/>
    <w:rsid w:val="006F6CDE"/>
    <w:rPr>
      <w:rFonts w:ascii="Arial" w:eastAsia="SimSun" w:hAnsi="Arial"/>
      <w:kern w:val="2"/>
      <w:sz w:val="21"/>
      <w:szCs w:val="24"/>
    </w:rPr>
  </w:style>
  <w:style w:type="character" w:customStyle="1" w:styleId="Doc-text2Char">
    <w:name w:val="Doc-text2 Char"/>
    <w:link w:val="Doc-text2"/>
    <w:qFormat/>
    <w:rsid w:val="006F6CDE"/>
    <w:rPr>
      <w:rFonts w:ascii="Arial" w:eastAsia="MS Mincho" w:hAnsi="Arial"/>
      <w:szCs w:val="24"/>
      <w:lang w:val="en-GB" w:eastAsia="en-GB" w:bidi="ar-SA"/>
    </w:rPr>
  </w:style>
  <w:style w:type="character" w:customStyle="1" w:styleId="TACChar">
    <w:name w:val="TAC Char"/>
    <w:link w:val="TAC"/>
    <w:qFormat/>
    <w:rsid w:val="006F6CDE"/>
    <w:rPr>
      <w:rFonts w:ascii="Arial" w:eastAsia="Times New Roman" w:hAnsi="Arial"/>
      <w:sz w:val="18"/>
      <w:lang w:val="en-GB" w:eastAsia="ja-JP"/>
    </w:rPr>
  </w:style>
  <w:style w:type="character" w:customStyle="1" w:styleId="NOChar">
    <w:name w:val="NO Char"/>
    <w:link w:val="NO"/>
    <w:qFormat/>
    <w:rsid w:val="006F6CDE"/>
    <w:rPr>
      <w:rFonts w:eastAsia="MS Mincho"/>
      <w:lang w:val="en-GB" w:eastAsia="en-US" w:bidi="ar-SA"/>
    </w:rPr>
  </w:style>
  <w:style w:type="paragraph" w:customStyle="1" w:styleId="NO">
    <w:name w:val="NO"/>
    <w:basedOn w:val="Normal"/>
    <w:link w:val="NOChar"/>
    <w:qFormat/>
    <w:rsid w:val="006F6CDE"/>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6F6CDE"/>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sid w:val="006F6CDE"/>
    <w:rPr>
      <w:rFonts w:ascii="SimSun" w:eastAsia="SimSun" w:hAnsi="SimSun" w:cs="SimSun"/>
      <w:sz w:val="24"/>
      <w:szCs w:val="24"/>
    </w:rPr>
  </w:style>
  <w:style w:type="character" w:customStyle="1" w:styleId="B1Char1">
    <w:name w:val="B1 Char1"/>
    <w:link w:val="B10"/>
    <w:qFormat/>
    <w:rsid w:val="006F6CDE"/>
    <w:rPr>
      <w:rFonts w:eastAsia="MS Mincho"/>
      <w:lang w:val="en-GB" w:eastAsia="en-US" w:bidi="ar-SA"/>
    </w:rPr>
  </w:style>
  <w:style w:type="paragraph" w:customStyle="1" w:styleId="B10">
    <w:name w:val="B1"/>
    <w:basedOn w:val="List"/>
    <w:link w:val="B1Char1"/>
    <w:qFormat/>
    <w:rsid w:val="006F6CDE"/>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6F6CDE"/>
    <w:rPr>
      <w:rFonts w:ascii="Times New Roman" w:eastAsia="Times New Roman" w:hAnsi="Times New Roman"/>
      <w:sz w:val="18"/>
      <w:szCs w:val="18"/>
      <w:lang w:val="en-GB" w:eastAsia="en-US"/>
    </w:rPr>
  </w:style>
  <w:style w:type="character" w:customStyle="1" w:styleId="TALChar">
    <w:name w:val="TAL Char"/>
    <w:link w:val="TAL"/>
    <w:qFormat/>
    <w:rsid w:val="006F6CDE"/>
    <w:rPr>
      <w:rFonts w:ascii="Arial" w:hAnsi="Arial"/>
      <w:sz w:val="18"/>
      <w:lang w:val="en-GB" w:eastAsia="ja-JP" w:bidi="ar-SA"/>
    </w:rPr>
  </w:style>
  <w:style w:type="character" w:customStyle="1" w:styleId="B1Char">
    <w:name w:val="B1 Char"/>
    <w:qFormat/>
    <w:rsid w:val="006F6CDE"/>
    <w:rPr>
      <w:rFonts w:ascii="Times New Roman" w:hAnsi="Times New Roman"/>
      <w:lang w:val="en-GB" w:eastAsia="en-US"/>
    </w:rPr>
  </w:style>
  <w:style w:type="character" w:customStyle="1" w:styleId="MTEquationSection">
    <w:name w:val="MTEquationSection"/>
    <w:qFormat/>
    <w:rsid w:val="006F6CDE"/>
    <w:rPr>
      <w:rFonts w:cs="Arial"/>
      <w:bCs/>
      <w:vanish/>
      <w:color w:val="FF0000"/>
      <w:sz w:val="28"/>
      <w:szCs w:val="28"/>
      <w:lang w:eastAsia="zh-CN"/>
    </w:rPr>
  </w:style>
  <w:style w:type="character" w:customStyle="1" w:styleId="TALLeft100cmCharChar">
    <w:name w:val="TAL + Left:  1;00 cm Char Char"/>
    <w:link w:val="TALLeft1"/>
    <w:qFormat/>
    <w:rsid w:val="006F6CDE"/>
    <w:rPr>
      <w:rFonts w:ascii="Arial" w:hAnsi="Arial"/>
      <w:sz w:val="18"/>
      <w:lang w:val="en-GB" w:eastAsia="en-GB" w:bidi="ar-SA"/>
    </w:rPr>
  </w:style>
  <w:style w:type="paragraph" w:customStyle="1" w:styleId="TALLeft1">
    <w:name w:val="TAL + Left:  1"/>
    <w:basedOn w:val="TAL"/>
    <w:link w:val="TALLeft100cmCharChar"/>
    <w:qFormat/>
    <w:rsid w:val="006F6CDE"/>
    <w:pPr>
      <w:ind w:left="567"/>
    </w:pPr>
    <w:rPr>
      <w:lang w:eastAsia="en-GB"/>
    </w:rPr>
  </w:style>
  <w:style w:type="paragraph" w:customStyle="1" w:styleId="doc-text20">
    <w:name w:val="doc-text2"/>
    <w:basedOn w:val="Normal"/>
    <w:qFormat/>
    <w:rsid w:val="006F6CDE"/>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6F6CDE"/>
    <w:pPr>
      <w:ind w:left="567"/>
    </w:pPr>
    <w:rPr>
      <w:lang w:eastAsia="en-US"/>
    </w:rPr>
  </w:style>
  <w:style w:type="paragraph" w:customStyle="1" w:styleId="CRCoverPage">
    <w:name w:val="CR Cover Page"/>
    <w:qFormat/>
    <w:rsid w:val="006F6CDE"/>
    <w:pPr>
      <w:spacing w:after="120"/>
    </w:pPr>
    <w:rPr>
      <w:rFonts w:ascii="Arial" w:eastAsia="MS Mincho" w:hAnsi="Arial"/>
      <w:lang w:val="en-GB" w:eastAsia="en-US"/>
    </w:rPr>
  </w:style>
  <w:style w:type="paragraph" w:customStyle="1" w:styleId="TF">
    <w:name w:val="TF"/>
    <w:basedOn w:val="TH"/>
    <w:qFormat/>
    <w:rsid w:val="006F6CDE"/>
    <w:pPr>
      <w:keepNext w:val="0"/>
      <w:spacing w:before="0" w:after="240"/>
    </w:pPr>
  </w:style>
  <w:style w:type="paragraph" w:customStyle="1" w:styleId="TALLeft125cm">
    <w:name w:val="TAL + Left: 125 cm"/>
    <w:basedOn w:val="Normal"/>
    <w:qFormat/>
    <w:rsid w:val="006F6CDE"/>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6F6CDE"/>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6F6CDE"/>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6F6CDE"/>
    <w:pPr>
      <w:numPr>
        <w:numId w:val="3"/>
      </w:numPr>
    </w:pPr>
    <w:rPr>
      <w:rFonts w:eastAsia="MS Mincho"/>
      <w:lang w:val="en-GB" w:eastAsia="en-US"/>
    </w:rPr>
  </w:style>
  <w:style w:type="paragraph" w:customStyle="1" w:styleId="ZT">
    <w:name w:val="ZT"/>
    <w:qFormat/>
    <w:rsid w:val="006F6CDE"/>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CharChar13CharChar">
    <w:name w:val="Char Char13 (文字) (文字) Char Char"/>
    <w:basedOn w:val="Normal"/>
    <w:qFormat/>
    <w:rsid w:val="006F6CDE"/>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6F6CDE"/>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6F6CDE"/>
    <w:pPr>
      <w:ind w:firstLineChars="200" w:firstLine="420"/>
    </w:pPr>
  </w:style>
  <w:style w:type="paragraph" w:customStyle="1" w:styleId="ListParagraph11">
    <w:name w:val="List Paragraph11"/>
    <w:basedOn w:val="Normal"/>
    <w:uiPriority w:val="34"/>
    <w:qFormat/>
    <w:rsid w:val="006F6CDE"/>
    <w:pPr>
      <w:ind w:left="720"/>
      <w:contextualSpacing/>
    </w:pPr>
  </w:style>
  <w:style w:type="paragraph" w:customStyle="1" w:styleId="ACTION">
    <w:name w:val="ACTION"/>
    <w:basedOn w:val="Normal"/>
    <w:qFormat/>
    <w:rsid w:val="006F6CDE"/>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6F6CDE"/>
    <w:rPr>
      <w:rFonts w:eastAsia="SimSun"/>
      <w:sz w:val="22"/>
      <w:lang w:val="en-GB" w:eastAsia="en-US"/>
    </w:rPr>
  </w:style>
  <w:style w:type="paragraph" w:customStyle="1" w:styleId="Style1">
    <w:name w:val="_Style 1"/>
    <w:basedOn w:val="Normal"/>
    <w:uiPriority w:val="34"/>
    <w:qFormat/>
    <w:rsid w:val="006F6CDE"/>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6F6CDE"/>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6F6CDE"/>
    <w:pPr>
      <w:spacing w:line="276" w:lineRule="auto"/>
      <w:ind w:firstLineChars="200" w:firstLine="420"/>
    </w:pPr>
  </w:style>
  <w:style w:type="paragraph" w:customStyle="1" w:styleId="3GPPNormalText">
    <w:name w:val="3GPP Normal Text"/>
    <w:basedOn w:val="BodyText"/>
    <w:qFormat/>
    <w:rsid w:val="006F6CDE"/>
    <w:rPr>
      <w:szCs w:val="24"/>
      <w:lang w:eastAsia="ko-KR"/>
    </w:rPr>
  </w:style>
  <w:style w:type="paragraph" w:styleId="ListParagraph">
    <w:name w:val="List Paragraph"/>
    <w:basedOn w:val="Normal"/>
    <w:uiPriority w:val="34"/>
    <w:unhideWhenUsed/>
    <w:qFormat/>
    <w:rsid w:val="006F6CDE"/>
    <w:pPr>
      <w:ind w:left="720"/>
      <w:contextualSpacing/>
    </w:pPr>
  </w:style>
  <w:style w:type="character" w:styleId="PlaceholderText">
    <w:name w:val="Placeholder Text"/>
    <w:basedOn w:val="DefaultParagraphFont"/>
    <w:uiPriority w:val="99"/>
    <w:unhideWhenUsed/>
    <w:qFormat/>
    <w:rsid w:val="006F6CDE"/>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CDDC3E2-D249-46AD-AF6E-033D1884D04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3</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241</cp:revision>
  <cp:lastPrinted>2011-10-30T11:16:00Z</cp:lastPrinted>
  <dcterms:created xsi:type="dcterms:W3CDTF">2018-08-09T20:54:00Z</dcterms:created>
  <dcterms:modified xsi:type="dcterms:W3CDTF">2019-01-12T01:35:00Z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